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44E17" w14:textId="165C8334" w:rsidR="001426B0" w:rsidRDefault="001426B0" w:rsidP="00470D15">
      <w:pPr>
        <w:spacing w:before="120" w:after="12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SUPPLEMENTAL MATERIAL</w:t>
      </w:r>
    </w:p>
    <w:p w14:paraId="0DD6691F" w14:textId="59DB7A12" w:rsidR="001426B0" w:rsidRDefault="001426B0" w:rsidP="00470D15">
      <w:pPr>
        <w:spacing w:before="120" w:after="12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of</w:t>
      </w:r>
    </w:p>
    <w:p w14:paraId="2C9A72E5" w14:textId="4FB35E3B" w:rsidR="00BF772C" w:rsidRDefault="00C97614" w:rsidP="00470D15">
      <w:pPr>
        <w:spacing w:before="120" w:after="120"/>
        <w:jc w:val="center"/>
        <w:rPr>
          <w:b/>
          <w:bCs/>
          <w:lang w:val="en-US" w:eastAsia="ja-JP"/>
        </w:rPr>
      </w:pPr>
      <w:r w:rsidRPr="00937877">
        <w:rPr>
          <w:b/>
          <w:bCs/>
          <w:lang w:val="en-US"/>
        </w:rPr>
        <w:t>Redefining AT1 receptor PET Imaging: Introducing the Radiotracer [</w:t>
      </w:r>
      <w:r w:rsidRPr="001426B0">
        <w:rPr>
          <w:b/>
          <w:bCs/>
          <w:vertAlign w:val="superscript"/>
          <w:lang w:val="en-US"/>
        </w:rPr>
        <w:t>18</w:t>
      </w:r>
      <w:r w:rsidRPr="00937877">
        <w:rPr>
          <w:b/>
          <w:bCs/>
          <w:lang w:val="en-US"/>
        </w:rPr>
        <w:t>F]DR29</w:t>
      </w:r>
    </w:p>
    <w:p w14:paraId="3C368DEA" w14:textId="77777777" w:rsidR="00BF772C" w:rsidRPr="00682D8E" w:rsidRDefault="00BF772C" w:rsidP="00470D15">
      <w:pPr>
        <w:spacing w:before="120" w:after="120"/>
        <w:jc w:val="both"/>
        <w:rPr>
          <w:b/>
          <w:bCs/>
          <w:lang w:val="en-US" w:eastAsia="ja-JP"/>
        </w:rPr>
      </w:pPr>
    </w:p>
    <w:p w14:paraId="13EF11DE" w14:textId="199414FC" w:rsidR="00BF772C" w:rsidRDefault="00BF772C" w:rsidP="00470D15">
      <w:pPr>
        <w:spacing w:before="120" w:after="120"/>
        <w:jc w:val="both"/>
        <w:rPr>
          <w:lang w:val="en-US"/>
        </w:rPr>
      </w:pPr>
      <w:bookmarkStart w:id="0" w:name="OLE_LINK5"/>
      <w:bookmarkStart w:id="1" w:name="OLE_LINK6"/>
      <w:r w:rsidRPr="003D49A2">
        <w:rPr>
          <w:lang w:val="en-US"/>
        </w:rPr>
        <w:t>Xinyu Chen</w:t>
      </w:r>
      <w:r>
        <w:rPr>
          <w:lang w:val="en-US"/>
        </w:rPr>
        <w:t xml:space="preserve"> PhD</w:t>
      </w:r>
      <w:r w:rsidRPr="003D49A2">
        <w:rPr>
          <w:vertAlign w:val="superscript"/>
          <w:lang w:val="en-US"/>
        </w:rPr>
        <w:t>1</w:t>
      </w:r>
      <w:r w:rsidRPr="003D49A2">
        <w:rPr>
          <w:lang w:val="en-US"/>
        </w:rPr>
        <w:t>, Hiroyuki Kimura</w:t>
      </w:r>
      <w:r>
        <w:rPr>
          <w:lang w:val="en-US"/>
        </w:rPr>
        <w:t xml:space="preserve"> PhD</w:t>
      </w:r>
      <w:r>
        <w:rPr>
          <w:vertAlign w:val="superscript"/>
          <w:lang w:val="en-US"/>
        </w:rPr>
        <w:t>2</w:t>
      </w:r>
      <w:r w:rsidRPr="003D49A2">
        <w:rPr>
          <w:lang w:val="en-US"/>
        </w:rPr>
        <w:t xml:space="preserve">, </w:t>
      </w:r>
      <w:proofErr w:type="spellStart"/>
      <w:r w:rsidRPr="00D63012">
        <w:rPr>
          <w:lang w:val="en-US"/>
        </w:rPr>
        <w:t>Takanori</w:t>
      </w:r>
      <w:proofErr w:type="spellEnd"/>
      <w:r w:rsidRPr="00D63012">
        <w:rPr>
          <w:lang w:val="en-US"/>
        </w:rPr>
        <w:t xml:space="preserve"> Sasaki</w:t>
      </w:r>
      <w:r>
        <w:rPr>
          <w:lang w:val="en-US"/>
        </w:rPr>
        <w:t xml:space="preserve"> PhD</w:t>
      </w:r>
      <w:r w:rsidRPr="00D63012">
        <w:rPr>
          <w:vertAlign w:val="superscript"/>
          <w:lang w:val="en-US"/>
        </w:rPr>
        <w:t>3</w:t>
      </w:r>
      <w:r w:rsidRPr="00D63012">
        <w:rPr>
          <w:lang w:val="en-US"/>
        </w:rPr>
        <w:t>,</w:t>
      </w:r>
      <w:r w:rsidRPr="00D63012">
        <w:rPr>
          <w:rFonts w:ascii="Arial" w:eastAsia="Times New Roman" w:hAnsi="Arial" w:cs="Arial"/>
          <w:bCs/>
          <w:lang w:val="en-US" w:eastAsia="de-DE"/>
        </w:rPr>
        <w:t xml:space="preserve"> </w:t>
      </w:r>
      <w:r w:rsidRPr="00D63012">
        <w:rPr>
          <w:bCs/>
          <w:lang w:val="en-US"/>
        </w:rPr>
        <w:t>Konrad Klimek</w:t>
      </w:r>
      <w:r>
        <w:rPr>
          <w:bCs/>
          <w:lang w:val="en-US"/>
        </w:rPr>
        <w:t xml:space="preserve"> MD</w:t>
      </w:r>
      <w:r w:rsidRPr="00D63012">
        <w:rPr>
          <w:vertAlign w:val="superscript"/>
          <w:lang w:val="en-US"/>
        </w:rPr>
        <w:t>4</w:t>
      </w:r>
      <w:r w:rsidRPr="00D63012">
        <w:rPr>
          <w:bCs/>
          <w:lang w:val="en-US"/>
        </w:rPr>
        <w:t>,</w:t>
      </w:r>
      <w:r w:rsidRPr="00D63012">
        <w:rPr>
          <w:lang w:val="en-US"/>
        </w:rPr>
        <w:t xml:space="preserve"> </w:t>
      </w:r>
      <w:r w:rsidRPr="000C7B41">
        <w:rPr>
          <w:lang w:val="en-US"/>
        </w:rPr>
        <w:t xml:space="preserve">Saskia </w:t>
      </w:r>
      <w:proofErr w:type="spellStart"/>
      <w:r w:rsidRPr="000C7B41">
        <w:rPr>
          <w:lang w:val="en-US"/>
        </w:rPr>
        <w:t>Mühlig</w:t>
      </w:r>
      <w:proofErr w:type="spellEnd"/>
      <w:r>
        <w:rPr>
          <w:lang w:val="en-US"/>
        </w:rPr>
        <w:t xml:space="preserve"> MSc</w:t>
      </w:r>
      <w:r w:rsidRPr="000C7B41">
        <w:rPr>
          <w:vertAlign w:val="superscript"/>
          <w:lang w:val="en-US"/>
        </w:rPr>
        <w:t>5</w:t>
      </w:r>
      <w:r>
        <w:rPr>
          <w:lang w:val="en-US"/>
        </w:rPr>
        <w:t xml:space="preserve">, </w:t>
      </w:r>
      <w:r w:rsidRPr="003D49A2">
        <w:rPr>
          <w:lang w:val="en-US"/>
        </w:rPr>
        <w:t>Anahi Paula Arias-</w:t>
      </w:r>
      <w:proofErr w:type="spellStart"/>
      <w:r w:rsidRPr="003D49A2">
        <w:rPr>
          <w:lang w:val="en-US"/>
        </w:rPr>
        <w:t>Loza</w:t>
      </w:r>
      <w:proofErr w:type="spellEnd"/>
      <w:r>
        <w:rPr>
          <w:lang w:val="en-US"/>
        </w:rPr>
        <w:t xml:space="preserve"> PhD</w:t>
      </w:r>
      <w:r>
        <w:rPr>
          <w:vertAlign w:val="superscript"/>
          <w:lang w:val="en-US"/>
        </w:rPr>
        <w:t>5</w:t>
      </w:r>
      <w:r w:rsidRPr="003D49A2">
        <w:rPr>
          <w:lang w:val="en-US"/>
        </w:rPr>
        <w:t>, Naoko Nose</w:t>
      </w:r>
      <w:r>
        <w:rPr>
          <w:lang w:val="en-US"/>
        </w:rPr>
        <w:t xml:space="preserve"> PhD</w:t>
      </w:r>
      <w:r>
        <w:rPr>
          <w:vertAlign w:val="superscript"/>
          <w:lang w:val="en-US"/>
        </w:rPr>
        <w:t>3</w:t>
      </w:r>
      <w:r w:rsidRPr="003D49A2">
        <w:rPr>
          <w:lang w:val="en-US"/>
        </w:rPr>
        <w:t xml:space="preserve">, </w:t>
      </w:r>
      <w:r>
        <w:rPr>
          <w:lang w:val="en-US"/>
        </w:rPr>
        <w:t>Yusuke Yagi PhD</w:t>
      </w:r>
      <w:r>
        <w:rPr>
          <w:vertAlign w:val="superscript"/>
          <w:lang w:val="en-US"/>
        </w:rPr>
        <w:t>3,6</w:t>
      </w:r>
      <w:r>
        <w:rPr>
          <w:lang w:val="en-US"/>
        </w:rPr>
        <w:t xml:space="preserve">, </w:t>
      </w:r>
      <w:r w:rsidRPr="003D49A2">
        <w:rPr>
          <w:lang w:val="en-US"/>
        </w:rPr>
        <w:t>Steven P Rowe</w:t>
      </w:r>
      <w:r>
        <w:rPr>
          <w:lang w:val="en-US"/>
        </w:rPr>
        <w:t xml:space="preserve"> MD</w:t>
      </w:r>
      <w:r>
        <w:rPr>
          <w:vertAlign w:val="superscript"/>
          <w:lang w:val="en-US"/>
        </w:rPr>
        <w:t>7</w:t>
      </w:r>
      <w:r w:rsidRPr="003D49A2">
        <w:rPr>
          <w:lang w:val="en-US"/>
        </w:rPr>
        <w:t>, Constantin Lapa</w:t>
      </w:r>
      <w:r>
        <w:rPr>
          <w:lang w:val="en-US"/>
        </w:rPr>
        <w:t xml:space="preserve"> MD</w:t>
      </w:r>
      <w:r w:rsidRPr="003D49A2">
        <w:rPr>
          <w:vertAlign w:val="superscript"/>
          <w:lang w:val="en-US"/>
        </w:rPr>
        <w:t>1</w:t>
      </w:r>
      <w:r w:rsidRPr="003D49A2">
        <w:rPr>
          <w:lang w:val="en-US"/>
        </w:rPr>
        <w:t xml:space="preserve">, </w:t>
      </w:r>
      <w:r w:rsidRPr="00D63012">
        <w:rPr>
          <w:lang w:val="en-US"/>
        </w:rPr>
        <w:t>Rudolf A Werner</w:t>
      </w:r>
      <w:r>
        <w:rPr>
          <w:lang w:val="en-US"/>
        </w:rPr>
        <w:t xml:space="preserve"> MD</w:t>
      </w:r>
      <w:r>
        <w:rPr>
          <w:vertAlign w:val="superscript"/>
          <w:lang w:val="en-US"/>
        </w:rPr>
        <w:t>8</w:t>
      </w:r>
      <w:r w:rsidRPr="00D63012">
        <w:rPr>
          <w:vertAlign w:val="superscript"/>
          <w:lang w:val="en-US"/>
        </w:rPr>
        <w:t>,</w:t>
      </w:r>
      <w:r>
        <w:rPr>
          <w:vertAlign w:val="superscript"/>
          <w:lang w:val="en-US"/>
        </w:rPr>
        <w:t>9#</w:t>
      </w:r>
      <w:r w:rsidRPr="00D63012">
        <w:rPr>
          <w:vertAlign w:val="superscript"/>
          <w:lang w:val="en-US"/>
        </w:rPr>
        <w:t xml:space="preserve"> </w:t>
      </w:r>
      <w:r w:rsidRPr="00D63012">
        <w:rPr>
          <w:lang w:val="en-US"/>
        </w:rPr>
        <w:t>and Takahiro Higuchi</w:t>
      </w:r>
      <w:r>
        <w:rPr>
          <w:lang w:val="en-US"/>
        </w:rPr>
        <w:t xml:space="preserve"> MD, PhD</w:t>
      </w:r>
      <w:r w:rsidRPr="00D63012">
        <w:rPr>
          <w:vertAlign w:val="superscript"/>
          <w:lang w:val="en-US"/>
        </w:rPr>
        <w:t>3,5</w:t>
      </w:r>
      <w:r>
        <w:rPr>
          <w:vertAlign w:val="superscript"/>
          <w:lang w:val="en-US"/>
        </w:rPr>
        <w:t>#</w:t>
      </w:r>
      <w:r w:rsidRPr="00D63012">
        <w:rPr>
          <w:lang w:val="en-US"/>
        </w:rPr>
        <w:t>*</w:t>
      </w:r>
    </w:p>
    <w:bookmarkEnd w:id="0"/>
    <w:bookmarkEnd w:id="1"/>
    <w:p w14:paraId="558D2C8B" w14:textId="77777777" w:rsidR="00BF772C" w:rsidRPr="00BA5A56" w:rsidRDefault="00BF772C" w:rsidP="00470D15">
      <w:pPr>
        <w:spacing w:before="120" w:after="120"/>
        <w:jc w:val="both"/>
        <w:rPr>
          <w:lang w:val="en-US"/>
        </w:rPr>
      </w:pPr>
      <w:r w:rsidRPr="000C7B41">
        <w:rPr>
          <w:vertAlign w:val="superscript"/>
          <w:lang w:val="en-US"/>
        </w:rPr>
        <w:t>#</w:t>
      </w:r>
      <w:r w:rsidRPr="00D63012">
        <w:rPr>
          <w:lang w:val="en-US"/>
        </w:rPr>
        <w:t>equal contribution</w:t>
      </w:r>
    </w:p>
    <w:p w14:paraId="23F2A17F" w14:textId="77777777" w:rsidR="00BF772C" w:rsidRPr="00F13AC2" w:rsidRDefault="00BF772C" w:rsidP="00470D15">
      <w:pPr>
        <w:spacing w:before="120" w:after="120"/>
        <w:jc w:val="both"/>
        <w:rPr>
          <w:sz w:val="22"/>
          <w:szCs w:val="22"/>
          <w:lang w:val="en-US"/>
        </w:rPr>
      </w:pPr>
      <w:r w:rsidRPr="00F13AC2">
        <w:rPr>
          <w:sz w:val="22"/>
          <w:szCs w:val="22"/>
          <w:vertAlign w:val="superscript"/>
          <w:lang w:val="en-US"/>
        </w:rPr>
        <w:t>1</w:t>
      </w:r>
      <w:r w:rsidRPr="00F13AC2">
        <w:rPr>
          <w:sz w:val="22"/>
          <w:szCs w:val="22"/>
          <w:lang w:val="en-US"/>
        </w:rPr>
        <w:t>Nuclear Medicine, Faculty of Medicine, University of Augsburg, Augsburg, Germany</w:t>
      </w:r>
    </w:p>
    <w:p w14:paraId="15D85DB9" w14:textId="77777777" w:rsidR="00BA5C54" w:rsidRPr="00BA5C54" w:rsidRDefault="00BA5C54" w:rsidP="00470D15">
      <w:pPr>
        <w:spacing w:before="120" w:after="120"/>
        <w:jc w:val="both"/>
        <w:rPr>
          <w:sz w:val="22"/>
          <w:szCs w:val="22"/>
          <w:vertAlign w:val="superscript"/>
          <w:lang w:val="en-US"/>
        </w:rPr>
      </w:pPr>
      <w:r w:rsidRPr="003F688F">
        <w:rPr>
          <w:sz w:val="22"/>
          <w:szCs w:val="22"/>
          <w:vertAlign w:val="superscript"/>
          <w:lang w:val="en-US"/>
        </w:rPr>
        <w:t>2</w:t>
      </w:r>
      <w:r w:rsidRPr="00BA5C54">
        <w:rPr>
          <w:sz w:val="22"/>
          <w:szCs w:val="22"/>
          <w:lang w:val="en-US"/>
        </w:rPr>
        <w:t>Agency for Health, Safety and Environment, Kyoto University, Kyoto, Japan</w:t>
      </w:r>
    </w:p>
    <w:p w14:paraId="26D2F94D" w14:textId="77777777" w:rsidR="00BF772C" w:rsidRPr="00F13AC2" w:rsidRDefault="00BF772C" w:rsidP="00470D15">
      <w:pPr>
        <w:spacing w:before="120" w:after="120"/>
        <w:jc w:val="both"/>
        <w:rPr>
          <w:sz w:val="22"/>
          <w:szCs w:val="22"/>
          <w:lang w:val="en-US"/>
        </w:rPr>
      </w:pPr>
      <w:r w:rsidRPr="00F13AC2">
        <w:rPr>
          <w:sz w:val="22"/>
          <w:szCs w:val="22"/>
          <w:vertAlign w:val="superscript"/>
          <w:lang w:val="en-US"/>
        </w:rPr>
        <w:t>3</w:t>
      </w:r>
      <w:r w:rsidRPr="00F13AC2">
        <w:rPr>
          <w:sz w:val="22"/>
          <w:szCs w:val="22"/>
          <w:lang w:val="en-US"/>
        </w:rPr>
        <w:t>Faculty of Medicine, Dentistry and Pharmaceutical Sciences, Okayama University, Okayama, Japan</w:t>
      </w:r>
    </w:p>
    <w:p w14:paraId="06B2C75B" w14:textId="77777777" w:rsidR="00BF772C" w:rsidRPr="00F13AC2" w:rsidRDefault="00BF772C" w:rsidP="00470D15">
      <w:pPr>
        <w:spacing w:before="120" w:after="120"/>
        <w:jc w:val="both"/>
        <w:rPr>
          <w:sz w:val="22"/>
          <w:szCs w:val="22"/>
          <w:lang w:val="en-US"/>
        </w:rPr>
      </w:pPr>
      <w:r w:rsidRPr="00F13AC2">
        <w:rPr>
          <w:sz w:val="22"/>
          <w:szCs w:val="22"/>
          <w:vertAlign w:val="superscript"/>
          <w:lang w:val="en-US"/>
        </w:rPr>
        <w:t>4</w:t>
      </w:r>
      <w:r w:rsidRPr="00F13AC2">
        <w:rPr>
          <w:sz w:val="22"/>
          <w:szCs w:val="22"/>
          <w:lang w:val="en-US"/>
        </w:rPr>
        <w:t>Goethe University Frankfurt, University Hospital, Clinic for Radiology and Nuclear Medicine, Department of Nuclear Medicine, Frankfurt, Germany</w:t>
      </w:r>
    </w:p>
    <w:p w14:paraId="1396B35F" w14:textId="77777777" w:rsidR="00BF772C" w:rsidRPr="00AA288B" w:rsidRDefault="00BF772C" w:rsidP="00470D15">
      <w:pPr>
        <w:spacing w:before="120" w:after="120"/>
        <w:jc w:val="both"/>
        <w:rPr>
          <w:sz w:val="22"/>
          <w:szCs w:val="22"/>
          <w:lang w:val="en-US"/>
        </w:rPr>
      </w:pPr>
      <w:r w:rsidRPr="00F13AC2">
        <w:rPr>
          <w:sz w:val="22"/>
          <w:szCs w:val="22"/>
          <w:vertAlign w:val="superscript"/>
          <w:lang w:val="en-US"/>
        </w:rPr>
        <w:t>5</w:t>
      </w:r>
      <w:r w:rsidRPr="00F13AC2">
        <w:rPr>
          <w:sz w:val="22"/>
          <w:szCs w:val="22"/>
          <w:lang w:val="en-US"/>
        </w:rPr>
        <w:t>Department of Nuclear Medicine and Comprehensive Heart Failure Center (DZHI), University Hospital Würzburg, Würzburg, Germany</w:t>
      </w:r>
    </w:p>
    <w:p w14:paraId="176BF7AA" w14:textId="77777777" w:rsidR="00BF772C" w:rsidRPr="00F13AC2" w:rsidRDefault="00BF772C" w:rsidP="00470D15">
      <w:pPr>
        <w:spacing w:before="120" w:after="120"/>
        <w:jc w:val="both"/>
        <w:rPr>
          <w:sz w:val="22"/>
          <w:szCs w:val="22"/>
          <w:lang w:val="en-US"/>
        </w:rPr>
      </w:pPr>
      <w:r>
        <w:rPr>
          <w:sz w:val="22"/>
          <w:szCs w:val="22"/>
          <w:vertAlign w:val="superscript"/>
          <w:lang w:val="en-US"/>
        </w:rPr>
        <w:t>6</w:t>
      </w:r>
      <w:r w:rsidRPr="00F13AC2">
        <w:rPr>
          <w:sz w:val="22"/>
          <w:szCs w:val="22"/>
          <w:lang w:val="en-US"/>
        </w:rPr>
        <w:t>Department of Radiological Technology, Faculty of Medical Science, Kyoto College of Medical Science, Kyoto, Japan</w:t>
      </w:r>
    </w:p>
    <w:p w14:paraId="2408F86C" w14:textId="77777777" w:rsidR="00BF772C" w:rsidRPr="00F13AC2" w:rsidRDefault="00BF772C" w:rsidP="00470D15">
      <w:pPr>
        <w:spacing w:before="120" w:after="120"/>
        <w:jc w:val="both"/>
        <w:rPr>
          <w:sz w:val="22"/>
          <w:szCs w:val="22"/>
          <w:lang w:val="en-US"/>
        </w:rPr>
      </w:pPr>
      <w:r>
        <w:rPr>
          <w:sz w:val="22"/>
          <w:szCs w:val="22"/>
          <w:vertAlign w:val="superscript"/>
          <w:lang w:val="en-US"/>
        </w:rPr>
        <w:t>7</w:t>
      </w:r>
      <w:r w:rsidRPr="00F13AC2">
        <w:rPr>
          <w:sz w:val="22"/>
          <w:szCs w:val="22"/>
          <w:lang w:val="en-US"/>
        </w:rPr>
        <w:t>Molecular Imaging and Therapeutics, Department of Radiology, School of Medicine, University of North Carolina, Chapel Hill, NC, USA</w:t>
      </w:r>
    </w:p>
    <w:p w14:paraId="1B62F78E" w14:textId="77777777" w:rsidR="002A78A7" w:rsidRPr="00300C3B" w:rsidRDefault="002A78A7" w:rsidP="00470D15">
      <w:pPr>
        <w:spacing w:before="120" w:after="120"/>
        <w:jc w:val="both"/>
        <w:rPr>
          <w:sz w:val="22"/>
          <w:szCs w:val="22"/>
          <w:lang w:val="en-US"/>
        </w:rPr>
      </w:pPr>
      <w:r>
        <w:rPr>
          <w:sz w:val="22"/>
          <w:szCs w:val="22"/>
          <w:vertAlign w:val="superscript"/>
          <w:lang w:val="en-US"/>
        </w:rPr>
        <w:t>8</w:t>
      </w:r>
      <w:r>
        <w:rPr>
          <w:sz w:val="22"/>
          <w:szCs w:val="22"/>
          <w:lang w:val="en-US"/>
        </w:rPr>
        <w:t>Department of Nuclear Medicine, LMU Hospital, Ludwig-</w:t>
      </w:r>
      <w:proofErr w:type="spellStart"/>
      <w:r>
        <w:rPr>
          <w:sz w:val="22"/>
          <w:szCs w:val="22"/>
          <w:lang w:val="en-US"/>
        </w:rPr>
        <w:t>Maximilians</w:t>
      </w:r>
      <w:proofErr w:type="spellEnd"/>
      <w:r>
        <w:rPr>
          <w:sz w:val="22"/>
          <w:szCs w:val="22"/>
          <w:lang w:val="en-US"/>
        </w:rPr>
        <w:t>-University of Munich, Munich, Germany</w:t>
      </w:r>
    </w:p>
    <w:p w14:paraId="7E3FC362" w14:textId="5477ADAD" w:rsidR="00BF772C" w:rsidRPr="00682D8E" w:rsidRDefault="002A78A7" w:rsidP="00470D15">
      <w:pPr>
        <w:spacing w:before="120" w:after="120"/>
        <w:jc w:val="both"/>
        <w:rPr>
          <w:sz w:val="22"/>
          <w:szCs w:val="22"/>
          <w:lang w:val="en-US"/>
        </w:rPr>
      </w:pPr>
      <w:r w:rsidRPr="00470D15">
        <w:rPr>
          <w:rFonts w:cstheme="minorHAnsi"/>
          <w:sz w:val="22"/>
          <w:szCs w:val="22"/>
          <w:vertAlign w:val="superscript"/>
          <w:lang w:val="en-US"/>
        </w:rPr>
        <w:t>9</w:t>
      </w:r>
      <w:r w:rsidRPr="00470D15">
        <w:rPr>
          <w:rFonts w:cstheme="minorHAnsi"/>
          <w:sz w:val="22"/>
          <w:szCs w:val="22"/>
          <w:lang w:val="en-US"/>
        </w:rPr>
        <w:t xml:space="preserve">Division of Nuclear Medicine </w:t>
      </w:r>
      <w:r w:rsidRPr="00470D15">
        <w:rPr>
          <w:rFonts w:cstheme="minorHAnsi"/>
          <w:color w:val="000000" w:themeColor="text1"/>
          <w:sz w:val="22"/>
          <w:szCs w:val="22"/>
          <w:lang w:val="en-US"/>
        </w:rPr>
        <w:t>and Molecular Imaging</w:t>
      </w:r>
      <w:r w:rsidRPr="00470D15">
        <w:rPr>
          <w:rFonts w:cstheme="minorHAnsi"/>
          <w:sz w:val="22"/>
          <w:szCs w:val="22"/>
          <w:lang w:val="en-US"/>
        </w:rPr>
        <w:t>, The Russell H Morgan Department of</w:t>
      </w:r>
      <w:r w:rsidRPr="00F13AC2">
        <w:rPr>
          <w:sz w:val="22"/>
          <w:szCs w:val="22"/>
          <w:lang w:val="en-US"/>
        </w:rPr>
        <w:t xml:space="preserve"> Radiology and Radiological Science, Johns Hopkins University School of Medicine, Baltimore, MD, USA</w:t>
      </w:r>
    </w:p>
    <w:p w14:paraId="6F377857" w14:textId="77777777" w:rsidR="00BF772C" w:rsidRDefault="00BF772C" w:rsidP="00470D15">
      <w:pPr>
        <w:spacing w:before="120" w:after="120"/>
        <w:jc w:val="both"/>
        <w:rPr>
          <w:lang w:val="en-US"/>
        </w:rPr>
      </w:pPr>
      <w:r>
        <w:rPr>
          <w:b/>
          <w:bCs/>
          <w:lang w:val="en-US"/>
        </w:rPr>
        <w:t>*</w:t>
      </w:r>
      <w:r w:rsidRPr="003D49A2">
        <w:rPr>
          <w:b/>
          <w:bCs/>
          <w:lang w:val="en-US"/>
        </w:rPr>
        <w:t>Corresponding Author:</w:t>
      </w:r>
      <w:r w:rsidRPr="003D49A2">
        <w:rPr>
          <w:lang w:val="en-US"/>
        </w:rPr>
        <w:t xml:space="preserve"> </w:t>
      </w:r>
    </w:p>
    <w:p w14:paraId="3E10A302" w14:textId="77777777" w:rsidR="00BF772C" w:rsidRDefault="00BF772C" w:rsidP="00470D15">
      <w:pPr>
        <w:spacing w:before="120" w:after="120"/>
        <w:jc w:val="both"/>
        <w:rPr>
          <w:lang w:val="en-US"/>
        </w:rPr>
      </w:pPr>
      <w:r w:rsidRPr="00474C80">
        <w:rPr>
          <w:b/>
          <w:bCs/>
          <w:lang w:val="en-US"/>
        </w:rPr>
        <w:t>Takahiro Higuchi</w:t>
      </w:r>
      <w:r w:rsidRPr="003D49A2">
        <w:rPr>
          <w:lang w:val="en-US"/>
        </w:rPr>
        <w:t xml:space="preserve"> — University Hospital Würzburg</w:t>
      </w:r>
      <w:r>
        <w:rPr>
          <w:lang w:val="en-US"/>
        </w:rPr>
        <w:t>,</w:t>
      </w:r>
      <w:r w:rsidRPr="003D49A2">
        <w:rPr>
          <w:lang w:val="en-US"/>
        </w:rPr>
        <w:t xml:space="preserve"> Department of Nuclear Medicine and Comprehensive Heart Failure Center, </w:t>
      </w:r>
      <w:proofErr w:type="spellStart"/>
      <w:r>
        <w:rPr>
          <w:lang w:val="en-US"/>
        </w:rPr>
        <w:t>Oberdürrbacher</w:t>
      </w:r>
      <w:proofErr w:type="spellEnd"/>
      <w:r>
        <w:rPr>
          <w:lang w:val="en-US"/>
        </w:rPr>
        <w:t xml:space="preserve"> Str. 6</w:t>
      </w:r>
      <w:r w:rsidRPr="003D49A2">
        <w:rPr>
          <w:lang w:val="en-US"/>
        </w:rPr>
        <w:t>, 97080 Würzburg, Germany;</w:t>
      </w:r>
    </w:p>
    <w:p w14:paraId="1F4A51E1" w14:textId="77777777" w:rsidR="00BF772C" w:rsidRDefault="00BF772C" w:rsidP="00470D15">
      <w:pPr>
        <w:spacing w:before="120" w:after="120"/>
        <w:jc w:val="both"/>
        <w:rPr>
          <w:lang w:val="en-US"/>
        </w:rPr>
      </w:pPr>
      <w:r>
        <w:rPr>
          <w:lang w:val="en-US"/>
        </w:rPr>
        <w:t xml:space="preserve">Tel: +49 931 201 35455; Fax: </w:t>
      </w:r>
      <w:bdo w:val="ltr">
        <w:r w:rsidRPr="008830F4">
          <w:rPr>
            <w:lang w:val="en-US"/>
          </w:rPr>
          <w:t>+49 931 201</w:t>
        </w:r>
        <w:r>
          <w:rPr>
            <w:lang w:val="en-US"/>
          </w:rPr>
          <w:t xml:space="preserve"> </w:t>
        </w:r>
        <w:r w:rsidRPr="008830F4">
          <w:rPr>
            <w:lang w:val="en-US"/>
          </w:rPr>
          <w:t>646428</w:t>
        </w:r>
        <w:r w:rsidRPr="008830F4">
          <w:rPr>
            <w:lang w:val="en-US"/>
          </w:rPr>
          <w:t>‬</w:t>
        </w:r>
        <w:r>
          <w:rPr>
            <w:lang w:val="en-US"/>
          </w:rPr>
          <w:t xml:space="preserve">; </w:t>
        </w:r>
        <w:r w:rsidRPr="003D49A2">
          <w:rPr>
            <w:lang w:val="en-US"/>
          </w:rPr>
          <w:t xml:space="preserve">Email: </w:t>
        </w:r>
        <w:hyperlink r:id="rId6" w:history="1">
          <w:r w:rsidRPr="00C42C5E">
            <w:rPr>
              <w:rStyle w:val="Hyperlink"/>
              <w:lang w:val="en-US"/>
            </w:rPr>
            <w:t>thiguchi@me.com</w:t>
          </w:r>
        </w:hyperlink>
        <w:r w:rsidRPr="00766EAC">
          <w:rPr>
            <w:lang w:val="en-US"/>
          </w:rPr>
          <w:t>‬</w:t>
        </w:r>
        <w:r w:rsidRPr="005D2FCF">
          <w:rPr>
            <w:lang w:val="en-US"/>
          </w:rPr>
          <w:t>‬</w:t>
        </w:r>
        <w:r w:rsidRPr="002277A9">
          <w:rPr>
            <w:lang w:val="en-US"/>
          </w:rPr>
          <w:t>‬</w:t>
        </w:r>
        <w:r w:rsidRPr="003642C7">
          <w:rPr>
            <w:lang w:val="en-US"/>
          </w:rPr>
          <w:t>‬</w:t>
        </w:r>
        <w:r w:rsidRPr="00AA288B">
          <w:rPr>
            <w:lang w:val="en-US"/>
          </w:rPr>
          <w:t>‬</w:t>
        </w:r>
        <w:r w:rsidRPr="00206D3F">
          <w:rPr>
            <w:lang w:val="en-US"/>
          </w:rPr>
          <w:t>‬</w:t>
        </w:r>
        <w:r w:rsidRPr="008129E0">
          <w:rPr>
            <w:lang w:val="en-US"/>
          </w:rPr>
          <w:t>‬</w:t>
        </w:r>
        <w:r w:rsidRPr="00555C64">
          <w:rPr>
            <w:lang w:val="en-US"/>
          </w:rPr>
          <w:t>‬</w:t>
        </w:r>
        <w:r w:rsidRPr="00DF542C">
          <w:rPr>
            <w:lang w:val="en-US"/>
          </w:rPr>
          <w:t>‬</w:t>
        </w:r>
        <w:r w:rsidRPr="00B23D1E">
          <w:rPr>
            <w:lang w:val="en-US"/>
          </w:rPr>
          <w:t>‬</w:t>
        </w:r>
        <w:r w:rsidRPr="002C68D4">
          <w:rPr>
            <w:lang w:val="en-US"/>
          </w:rPr>
          <w:t>‬</w:t>
        </w:r>
        <w:r w:rsidRPr="002C68D4">
          <w:rPr>
            <w:lang w:val="en-US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000000">
          <w:t>‬</w:t>
        </w:r>
      </w:bdo>
    </w:p>
    <w:p w14:paraId="03CE4994" w14:textId="4C197807" w:rsidR="00C97614" w:rsidRDefault="00BF772C" w:rsidP="00470D15">
      <w:pPr>
        <w:spacing w:before="120" w:after="120"/>
        <w:jc w:val="both"/>
        <w:rPr>
          <w:lang w:val="en-US"/>
        </w:rPr>
      </w:pPr>
      <w:r w:rsidRPr="003D49A2">
        <w:rPr>
          <w:lang w:val="en-US"/>
        </w:rPr>
        <w:t>orcid.org/0000-0002-1989-736X;</w:t>
      </w:r>
    </w:p>
    <w:p w14:paraId="043F36F0" w14:textId="77777777" w:rsidR="00470D15" w:rsidRDefault="00470D15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3D27F5E" w14:textId="433285AE" w:rsidR="00E80188" w:rsidRPr="00121A90" w:rsidRDefault="00E80188" w:rsidP="00470D15">
      <w:pPr>
        <w:jc w:val="both"/>
        <w:rPr>
          <w:b/>
          <w:bCs/>
          <w:lang w:val="en-US"/>
        </w:rPr>
      </w:pPr>
      <w:r w:rsidRPr="00121A90">
        <w:rPr>
          <w:b/>
          <w:bCs/>
          <w:lang w:val="en-US"/>
        </w:rPr>
        <w:lastRenderedPageBreak/>
        <w:t>Immunohistochemical staining</w:t>
      </w:r>
    </w:p>
    <w:p w14:paraId="1D6D1889" w14:textId="0D8632BA" w:rsidR="00E80188" w:rsidRPr="00121A90" w:rsidRDefault="00E80188" w:rsidP="00470D15">
      <w:pPr>
        <w:jc w:val="both"/>
        <w:rPr>
          <w:lang w:val="en-US"/>
        </w:rPr>
      </w:pPr>
      <w:r w:rsidRPr="00121A90">
        <w:rPr>
          <w:lang w:val="en-US"/>
        </w:rPr>
        <w:t xml:space="preserve">Frozen sections of kidneys (8 </w:t>
      </w:r>
      <w:proofErr w:type="spellStart"/>
      <w:r w:rsidRPr="00121A90">
        <w:rPr>
          <w:lang w:val="en-US"/>
        </w:rPr>
        <w:t>μm</w:t>
      </w:r>
      <w:proofErr w:type="spellEnd"/>
      <w:r w:rsidRPr="00121A90">
        <w:rPr>
          <w:lang w:val="en-US"/>
        </w:rPr>
        <w:t>) were prepared using a cryostat and mounted onto glass slides. After air-drying for 10</w:t>
      </w:r>
      <w:r>
        <w:rPr>
          <w:lang w:val="en-US"/>
        </w:rPr>
        <w:t>–</w:t>
      </w:r>
      <w:r w:rsidRPr="00121A90">
        <w:rPr>
          <w:lang w:val="en-US"/>
        </w:rPr>
        <w:t>30 minutes at room temperature, the sections were fixed in 4% paraformaldehyde for 10</w:t>
      </w:r>
      <w:r>
        <w:rPr>
          <w:lang w:val="en-US"/>
        </w:rPr>
        <w:t>–</w:t>
      </w:r>
      <w:r w:rsidRPr="00121A90">
        <w:rPr>
          <w:lang w:val="en-US"/>
        </w:rPr>
        <w:t>15 minutes, followed by washing with PBS three times for 5 minutes each. The sections were blocked in serum free blocking buffer (</w:t>
      </w:r>
      <w:proofErr w:type="spellStart"/>
      <w:r w:rsidRPr="00121A90">
        <w:rPr>
          <w:lang w:val="en-US"/>
        </w:rPr>
        <w:t>Dako</w:t>
      </w:r>
      <w:proofErr w:type="spellEnd"/>
      <w:r w:rsidRPr="00121A90">
        <w:rPr>
          <w:lang w:val="en-US"/>
        </w:rPr>
        <w:t xml:space="preserve">), for 10 minutes. The primary antibody (Angiotensin II Receptor Type-1 (extracellular) Polyclonal Antibody, Cat# AAR-011, 200 µL, </w:t>
      </w:r>
      <w:proofErr w:type="spellStart"/>
      <w:r w:rsidRPr="00121A90">
        <w:rPr>
          <w:lang w:val="en-US"/>
        </w:rPr>
        <w:t>ThermoFisher</w:t>
      </w:r>
      <w:proofErr w:type="spellEnd"/>
      <w:r w:rsidRPr="00121A90">
        <w:rPr>
          <w:lang w:val="en-US"/>
        </w:rPr>
        <w:t xml:space="preserve">, Life Technologies GmbH, Darmstadt, Germany) was applied overnight at 4°C, followed by washing with PBS. Sections were then incubated with a fluorophore-conjugated secondary antibody (Goat anti-rabbit IgG (H+L) Cross-adsorbed Secondary Antibody, Cyanine5, </w:t>
      </w:r>
      <w:proofErr w:type="spellStart"/>
      <w:r w:rsidRPr="00121A90">
        <w:rPr>
          <w:lang w:val="en-US"/>
        </w:rPr>
        <w:t>ThermoFisher</w:t>
      </w:r>
      <w:proofErr w:type="spellEnd"/>
      <w:r w:rsidRPr="00121A90">
        <w:rPr>
          <w:lang w:val="en-US"/>
        </w:rPr>
        <w:t>, Life Technologies GmbH, Darmstadt, Germany) for 1 hour at room temperature, protected from light, and washed three times with PBS. DAPI was used for nuclear counterstaining where appropriate. Finally, the sections were mounted with anti-fade mounting medium and imaged using a fluorescence microscope (KEYENCE BZ-X800 Fluorescence Microscope, Keyence GmbH, Neu-</w:t>
      </w:r>
      <w:proofErr w:type="spellStart"/>
      <w:r w:rsidRPr="00121A90">
        <w:rPr>
          <w:lang w:val="en-US"/>
        </w:rPr>
        <w:t>Isenburg</w:t>
      </w:r>
      <w:proofErr w:type="spellEnd"/>
      <w:r w:rsidRPr="00121A90">
        <w:rPr>
          <w:lang w:val="en-US"/>
        </w:rPr>
        <w:t xml:space="preserve">, Germany). The images were acquired using a 20× objective lens and a 10× eyepiece lens. For fluorescence detection, we utilized a Cy5 filter for the secondary antibody signal and a DAPI filter for nuclear staining. </w:t>
      </w:r>
    </w:p>
    <w:p w14:paraId="28AF3009" w14:textId="77777777" w:rsidR="00E80188" w:rsidRDefault="00E80188" w:rsidP="00470D15">
      <w:pPr>
        <w:spacing w:before="120" w:after="120"/>
        <w:jc w:val="both"/>
        <w:rPr>
          <w:b/>
          <w:bCs/>
          <w:lang w:val="en-US"/>
        </w:rPr>
      </w:pPr>
    </w:p>
    <w:p w14:paraId="31363092" w14:textId="1C6D5053" w:rsidR="009016BD" w:rsidRPr="00CE52FA" w:rsidRDefault="009016BD" w:rsidP="00470D15">
      <w:pPr>
        <w:spacing w:before="120" w:after="120"/>
        <w:jc w:val="both"/>
        <w:rPr>
          <w:b/>
          <w:bCs/>
          <w:lang w:val="en-US"/>
        </w:rPr>
      </w:pPr>
      <w:r w:rsidRPr="009016BD">
        <w:rPr>
          <w:b/>
          <w:bCs/>
          <w:lang w:val="en-US"/>
        </w:rPr>
        <w:t>Western blot analysis</w:t>
      </w:r>
    </w:p>
    <w:p w14:paraId="0EE05668" w14:textId="695192DD" w:rsidR="009016BD" w:rsidRPr="007C0F96" w:rsidRDefault="009016BD" w:rsidP="00470D15">
      <w:pPr>
        <w:spacing w:before="120" w:after="120"/>
        <w:jc w:val="both"/>
        <w:rPr>
          <w:lang w:val="en-US"/>
        </w:rPr>
      </w:pPr>
      <w:r w:rsidRPr="00CE52FA">
        <w:rPr>
          <w:lang w:val="en-US"/>
        </w:rPr>
        <w:t xml:space="preserve">The </w:t>
      </w:r>
      <w:r>
        <w:rPr>
          <w:rFonts w:eastAsia="Yu Mincho" w:hint="eastAsia"/>
          <w:lang w:val="en-US" w:eastAsia="ja-JP"/>
        </w:rPr>
        <w:t>p</w:t>
      </w:r>
      <w:r w:rsidRPr="008E0E76">
        <w:rPr>
          <w:lang w:val="en-US"/>
        </w:rPr>
        <w:t xml:space="preserve">roteins were extracted from </w:t>
      </w:r>
      <w:r>
        <w:rPr>
          <w:rFonts w:eastAsia="Yu Mincho" w:hint="eastAsia"/>
          <w:lang w:val="en-US" w:eastAsia="ja-JP"/>
        </w:rPr>
        <w:t xml:space="preserve">the kidney </w:t>
      </w:r>
      <w:r w:rsidRPr="008E0E76">
        <w:rPr>
          <w:lang w:val="en-US"/>
        </w:rPr>
        <w:t xml:space="preserve">tissues </w:t>
      </w:r>
      <w:r w:rsidR="007C0F96">
        <w:rPr>
          <w:lang w:val="en-US"/>
        </w:rPr>
        <w:t>of both normotensive (WKY/</w:t>
      </w:r>
      <w:proofErr w:type="spellStart"/>
      <w:r w:rsidR="007C0F96">
        <w:rPr>
          <w:lang w:val="en-US"/>
        </w:rPr>
        <w:t>Izm</w:t>
      </w:r>
      <w:proofErr w:type="spellEnd"/>
      <w:r w:rsidR="007C0F96">
        <w:rPr>
          <w:lang w:val="en-US"/>
        </w:rPr>
        <w:t>) and hypertensive (SHR/</w:t>
      </w:r>
      <w:proofErr w:type="spellStart"/>
      <w:r w:rsidR="007C0F96">
        <w:rPr>
          <w:lang w:val="en-US"/>
        </w:rPr>
        <w:t>Izm</w:t>
      </w:r>
      <w:proofErr w:type="spellEnd"/>
      <w:r w:rsidR="007C0F96">
        <w:rPr>
          <w:lang w:val="en-US"/>
        </w:rPr>
        <w:t xml:space="preserve">) rats (n = 4 each group, duplicate from each kidney tissue) </w:t>
      </w:r>
      <w:r w:rsidRPr="008E0E76">
        <w:rPr>
          <w:lang w:val="en-US"/>
        </w:rPr>
        <w:t>using</w:t>
      </w:r>
      <w:r w:rsidRPr="00CE52FA">
        <w:rPr>
          <w:lang w:val="en-US"/>
        </w:rPr>
        <w:t xml:space="preserve"> </w:t>
      </w:r>
      <w:r w:rsidRPr="00CE52FA">
        <w:rPr>
          <w:rFonts w:eastAsia="Yu Mincho" w:cstheme="minorHAnsi"/>
          <w:lang w:val="en-US" w:eastAsia="ja-JP"/>
        </w:rPr>
        <w:t>T-PER</w:t>
      </w:r>
      <w:r w:rsidRPr="00CE52FA">
        <w:rPr>
          <w:rFonts w:eastAsia="Yu Mincho" w:hint="eastAsia"/>
          <w:vertAlign w:val="superscript"/>
          <w:lang w:val="en-US" w:eastAsia="ja-JP"/>
        </w:rPr>
        <w:t>TM</w:t>
      </w:r>
      <w:r w:rsidRPr="00CE52FA">
        <w:rPr>
          <w:rFonts w:cstheme="minorHAnsi"/>
          <w:lang w:val="en-US"/>
        </w:rPr>
        <w:t xml:space="preserve"> </w:t>
      </w:r>
      <w:r w:rsidRPr="00CE52FA">
        <w:rPr>
          <w:rFonts w:eastAsia="Yu Mincho" w:cstheme="minorHAnsi" w:hint="eastAsia"/>
          <w:lang w:val="en-US" w:eastAsia="ja-JP"/>
        </w:rPr>
        <w:t>Tissue Protein Extraction Reagent</w:t>
      </w:r>
      <w:r w:rsidRPr="00CE52FA">
        <w:rPr>
          <w:lang w:val="en-US"/>
        </w:rPr>
        <w:t xml:space="preserve"> (</w:t>
      </w:r>
      <w:proofErr w:type="spellStart"/>
      <w:r w:rsidRPr="00CE52FA">
        <w:rPr>
          <w:lang w:val="en-US"/>
        </w:rPr>
        <w:t>Thermo</w:t>
      </w:r>
      <w:proofErr w:type="spellEnd"/>
      <w:r w:rsidRPr="00CE52FA">
        <w:rPr>
          <w:lang w:val="en-US"/>
        </w:rPr>
        <w:t xml:space="preserve"> Fisher Scientific Inc.</w:t>
      </w:r>
      <w:r w:rsidRPr="00CE52FA">
        <w:rPr>
          <w:rFonts w:eastAsia="Yu Mincho" w:hint="eastAsia"/>
          <w:lang w:val="en-US" w:eastAsia="ja-JP"/>
        </w:rPr>
        <w:t xml:space="preserve">, </w:t>
      </w:r>
      <w:r w:rsidRPr="00CE52FA">
        <w:rPr>
          <w:rFonts w:eastAsia="Yu Mincho"/>
          <w:lang w:val="en-US" w:eastAsia="ja-JP"/>
        </w:rPr>
        <w:t>Waltham, MA</w:t>
      </w:r>
      <w:r w:rsidRPr="00CE52FA">
        <w:rPr>
          <w:lang w:val="en-US"/>
        </w:rPr>
        <w:t xml:space="preserve">) containing a </w:t>
      </w:r>
      <w:proofErr w:type="spellStart"/>
      <w:r w:rsidRPr="00CE52FA">
        <w:rPr>
          <w:rFonts w:eastAsia="Yu Mincho" w:hint="eastAsia"/>
          <w:lang w:val="en-US" w:eastAsia="ja-JP"/>
        </w:rPr>
        <w:t>Halt</w:t>
      </w:r>
      <w:r w:rsidRPr="00CE52FA">
        <w:rPr>
          <w:rFonts w:eastAsia="Yu Mincho" w:hint="eastAsia"/>
          <w:vertAlign w:val="superscript"/>
          <w:lang w:val="en-US" w:eastAsia="ja-JP"/>
        </w:rPr>
        <w:t>TM</w:t>
      </w:r>
      <w:proofErr w:type="spellEnd"/>
      <w:r w:rsidRPr="00CE52FA">
        <w:rPr>
          <w:rFonts w:eastAsia="Yu Mincho" w:hint="eastAsia"/>
          <w:lang w:val="en-US" w:eastAsia="ja-JP"/>
        </w:rPr>
        <w:t xml:space="preserve"> P</w:t>
      </w:r>
      <w:r w:rsidRPr="00CE52FA">
        <w:rPr>
          <w:lang w:val="en-US"/>
        </w:rPr>
        <w:t xml:space="preserve">rotease </w:t>
      </w:r>
      <w:r w:rsidRPr="00CE52FA">
        <w:rPr>
          <w:rFonts w:eastAsia="Yu Mincho" w:hint="eastAsia"/>
          <w:lang w:val="en-US" w:eastAsia="ja-JP"/>
        </w:rPr>
        <w:t>I</w:t>
      </w:r>
      <w:r w:rsidRPr="00CE52FA">
        <w:rPr>
          <w:lang w:val="en-US"/>
        </w:rPr>
        <w:t xml:space="preserve">nhibitor </w:t>
      </w:r>
      <w:r w:rsidRPr="00CE52FA">
        <w:rPr>
          <w:rFonts w:eastAsia="Yu Mincho" w:hint="eastAsia"/>
          <w:lang w:val="en-US" w:eastAsia="ja-JP"/>
        </w:rPr>
        <w:t>C</w:t>
      </w:r>
      <w:r w:rsidRPr="00CE52FA">
        <w:rPr>
          <w:lang w:val="en-US"/>
        </w:rPr>
        <w:t>ocktail</w:t>
      </w:r>
      <w:r w:rsidRPr="00CE52FA">
        <w:rPr>
          <w:rFonts w:eastAsia="Yu Mincho" w:hint="eastAsia"/>
          <w:lang w:val="en-US" w:eastAsia="ja-JP"/>
        </w:rPr>
        <w:t xml:space="preserve"> (100X)</w:t>
      </w:r>
      <w:r w:rsidRPr="00CE52FA">
        <w:rPr>
          <w:lang w:val="en-US"/>
        </w:rPr>
        <w:t xml:space="preserve"> (</w:t>
      </w:r>
      <w:proofErr w:type="spellStart"/>
      <w:r w:rsidRPr="00CE52FA">
        <w:rPr>
          <w:lang w:val="en-US"/>
        </w:rPr>
        <w:t>Thermo</w:t>
      </w:r>
      <w:proofErr w:type="spellEnd"/>
      <w:r w:rsidRPr="00CE52FA">
        <w:rPr>
          <w:lang w:val="en-US"/>
        </w:rPr>
        <w:t xml:space="preserve"> Fisher Scientific Inc.)</w:t>
      </w:r>
      <w:r w:rsidRPr="008E0E76">
        <w:rPr>
          <w:lang w:val="en-US"/>
        </w:rPr>
        <w:t xml:space="preserve">, separated by electrophoresis on a </w:t>
      </w:r>
      <w:r w:rsidR="00D50C75">
        <w:rPr>
          <w:lang w:val="en-US"/>
        </w:rPr>
        <w:t>4–</w:t>
      </w:r>
      <w:r w:rsidR="0093368F">
        <w:rPr>
          <w:lang w:val="en-US"/>
        </w:rPr>
        <w:t>2</w:t>
      </w:r>
      <w:r w:rsidR="00D50C75">
        <w:rPr>
          <w:lang w:val="en-US"/>
        </w:rPr>
        <w:t>0</w:t>
      </w:r>
      <w:r w:rsidRPr="00CE52FA">
        <w:rPr>
          <w:lang w:val="en-US"/>
        </w:rPr>
        <w:t xml:space="preserve">% </w:t>
      </w:r>
      <w:r w:rsidRPr="00CE52FA">
        <w:rPr>
          <w:rFonts w:eastAsia="Yu Mincho" w:hint="eastAsia"/>
          <w:lang w:val="en-US" w:eastAsia="ja-JP"/>
        </w:rPr>
        <w:t>Mini-PROTEAN® TGX</w:t>
      </w:r>
      <w:r w:rsidRPr="00CE52FA">
        <w:rPr>
          <w:rFonts w:eastAsia="Yu Mincho" w:hint="eastAsia"/>
          <w:vertAlign w:val="superscript"/>
          <w:lang w:val="en-US" w:eastAsia="ja-JP"/>
        </w:rPr>
        <w:t>TM</w:t>
      </w:r>
      <w:r w:rsidRPr="00CE52FA">
        <w:rPr>
          <w:rFonts w:eastAsia="Yu Mincho" w:hint="eastAsia"/>
          <w:lang w:val="en-US" w:eastAsia="ja-JP"/>
        </w:rPr>
        <w:t xml:space="preserve"> Precast Protein Gel</w:t>
      </w:r>
      <w:r w:rsidRPr="00CE52FA">
        <w:rPr>
          <w:lang w:val="en-US"/>
        </w:rPr>
        <w:t xml:space="preserve"> (Bio-Rad Laboratories, Hercules, CA, USA)</w:t>
      </w:r>
      <w:r w:rsidRPr="008E0E76">
        <w:rPr>
          <w:lang w:val="en-US"/>
        </w:rPr>
        <w:t xml:space="preserve">, and then transferred to a </w:t>
      </w:r>
      <w:r w:rsidRPr="00CE52FA">
        <w:rPr>
          <w:lang w:val="en-US"/>
        </w:rPr>
        <w:t>Immobilon® -P PVDF Membrane</w:t>
      </w:r>
      <w:r w:rsidRPr="00CE52FA">
        <w:rPr>
          <w:rFonts w:eastAsia="Yu Mincho" w:hint="eastAsia"/>
          <w:lang w:val="en-US" w:eastAsia="ja-JP"/>
        </w:rPr>
        <w:t>s</w:t>
      </w:r>
      <w:r w:rsidRPr="00CE52FA">
        <w:rPr>
          <w:lang w:val="en-US"/>
        </w:rPr>
        <w:t xml:space="preserve"> (Immobilon®</w:t>
      </w:r>
      <w:r w:rsidRPr="00CE52FA">
        <w:rPr>
          <w:rFonts w:eastAsia="Yu Mincho" w:hint="eastAsia"/>
          <w:lang w:val="en-US" w:eastAsia="ja-JP"/>
        </w:rPr>
        <w:t xml:space="preserve">, </w:t>
      </w:r>
      <w:r w:rsidRPr="00CE52FA">
        <w:rPr>
          <w:lang w:val="en-US"/>
        </w:rPr>
        <w:t>Millipore, Bedford, MA, USA)</w:t>
      </w:r>
      <w:r w:rsidRPr="008E0E76">
        <w:rPr>
          <w:lang w:val="en-US"/>
        </w:rPr>
        <w:t xml:space="preserve"> for further analysis. The membrane was blocked with </w:t>
      </w:r>
      <w:r w:rsidRPr="00CE52FA">
        <w:rPr>
          <w:rFonts w:eastAsia="Yu Mincho" w:hint="eastAsia"/>
          <w:lang w:val="en-US" w:eastAsia="ja-JP"/>
        </w:rPr>
        <w:t>Bullet Blocking One for Western Blotting</w:t>
      </w:r>
      <w:r w:rsidRPr="00CE52FA">
        <w:rPr>
          <w:lang w:val="en-US"/>
        </w:rPr>
        <w:t xml:space="preserve"> (</w:t>
      </w:r>
      <w:r w:rsidRPr="00CE52FA">
        <w:rPr>
          <w:rFonts w:hint="eastAsia"/>
          <w:lang w:val="en-US"/>
        </w:rPr>
        <w:t>NACALAI TESQUE, INC.</w:t>
      </w:r>
      <w:r w:rsidRPr="00CE52FA">
        <w:rPr>
          <w:rFonts w:eastAsia="Yu Mincho" w:hint="eastAsia"/>
          <w:lang w:val="en-US" w:eastAsia="ja-JP"/>
        </w:rPr>
        <w:t>, Kyoto, Japan</w:t>
      </w:r>
      <w:r w:rsidRPr="00CE52FA">
        <w:rPr>
          <w:lang w:val="en-US"/>
        </w:rPr>
        <w:t>)</w:t>
      </w:r>
      <w:r w:rsidRPr="008E0E76">
        <w:rPr>
          <w:lang w:val="en-US"/>
        </w:rPr>
        <w:t xml:space="preserve"> at room temperature for </w:t>
      </w:r>
      <w:r>
        <w:rPr>
          <w:rFonts w:eastAsia="Yu Mincho" w:hint="eastAsia"/>
          <w:lang w:val="en-US" w:eastAsia="ja-JP"/>
        </w:rPr>
        <w:t>5</w:t>
      </w:r>
      <w:r w:rsidRPr="008E0E76">
        <w:rPr>
          <w:lang w:val="en-US"/>
        </w:rPr>
        <w:t> </w:t>
      </w:r>
      <w:r>
        <w:rPr>
          <w:rFonts w:eastAsia="Yu Mincho" w:hint="eastAsia"/>
          <w:lang w:val="en-US" w:eastAsia="ja-JP"/>
        </w:rPr>
        <w:t>min</w:t>
      </w:r>
      <w:r w:rsidRPr="008E0E76">
        <w:rPr>
          <w:lang w:val="en-US"/>
        </w:rPr>
        <w:t xml:space="preserve"> before incubated with the following primary antibodies:</w:t>
      </w:r>
      <w:r w:rsidR="007C0F96">
        <w:rPr>
          <w:rFonts w:eastAsia="Yu Mincho"/>
          <w:lang w:val="en-US" w:eastAsia="ja-JP"/>
        </w:rPr>
        <w:t xml:space="preserve"> </w:t>
      </w:r>
      <w:r w:rsidRPr="00CE52FA">
        <w:rPr>
          <w:lang w:val="en-US"/>
        </w:rPr>
        <w:t>Angiotensin II Receptor Type-1 (extracellular) Polyclonal Antibody (1:</w:t>
      </w:r>
      <w:r w:rsidR="0093368F">
        <w:rPr>
          <w:rFonts w:eastAsia="Yu Mincho"/>
          <w:lang w:val="en-US" w:eastAsia="ja-JP"/>
        </w:rPr>
        <w:t>10</w:t>
      </w:r>
      <w:r w:rsidRPr="00CE52FA">
        <w:rPr>
          <w:lang w:val="en-US"/>
        </w:rPr>
        <w:t xml:space="preserve">00; </w:t>
      </w:r>
      <w:proofErr w:type="spellStart"/>
      <w:r w:rsidRPr="00CE52FA">
        <w:rPr>
          <w:lang w:val="en-US"/>
        </w:rPr>
        <w:t>Alomone</w:t>
      </w:r>
      <w:proofErr w:type="spellEnd"/>
      <w:r w:rsidRPr="00CE52FA">
        <w:rPr>
          <w:lang w:val="en-US"/>
        </w:rPr>
        <w:t xml:space="preserve"> Labs, Minneapolis, </w:t>
      </w:r>
      <w:proofErr w:type="spellStart"/>
      <w:r w:rsidRPr="00CE52FA">
        <w:rPr>
          <w:lang w:val="en-US"/>
        </w:rPr>
        <w:t>Thermo</w:t>
      </w:r>
      <w:proofErr w:type="spellEnd"/>
      <w:r w:rsidRPr="00CE52FA">
        <w:rPr>
          <w:lang w:val="en-US"/>
        </w:rPr>
        <w:t xml:space="preserve"> Fisher Scientific Inc.)</w:t>
      </w:r>
      <w:r w:rsidRPr="00CE52FA">
        <w:rPr>
          <w:rFonts w:eastAsia="Yu Mincho" w:hint="eastAsia"/>
          <w:lang w:val="en-US" w:eastAsia="ja-JP"/>
        </w:rPr>
        <w:t xml:space="preserve"> and</w:t>
      </w:r>
      <w:r w:rsidRPr="00CE52FA">
        <w:rPr>
          <w:lang w:val="en-US"/>
        </w:rPr>
        <w:t xml:space="preserve"> a Vinculin (E1E9V) XP® Rabbit </w:t>
      </w:r>
      <w:proofErr w:type="spellStart"/>
      <w:r w:rsidRPr="00CE52FA">
        <w:rPr>
          <w:lang w:val="en-US"/>
        </w:rPr>
        <w:t>mAb</w:t>
      </w:r>
      <w:proofErr w:type="spellEnd"/>
      <w:r w:rsidRPr="00CE52FA">
        <w:rPr>
          <w:lang w:val="en-US"/>
        </w:rPr>
        <w:t xml:space="preserve"> (1:1000; Cell Signaling Technology Inc., Beverly, MA)</w:t>
      </w:r>
      <w:r w:rsidRPr="008E0E76">
        <w:rPr>
          <w:lang w:val="en-US"/>
        </w:rPr>
        <w:t xml:space="preserve">. Goat anti-rabbit IgG </w:t>
      </w:r>
      <w:r w:rsidRPr="00CE52FA">
        <w:rPr>
          <w:lang w:val="en-US"/>
        </w:rPr>
        <w:t>(</w:t>
      </w:r>
      <w:r w:rsidRPr="00CE52FA">
        <w:rPr>
          <w:rFonts w:eastAsia="Yu Mincho" w:hint="eastAsia"/>
          <w:lang w:val="en-US" w:eastAsia="ja-JP"/>
        </w:rPr>
        <w:t>1:</w:t>
      </w:r>
      <w:r w:rsidR="0093368F">
        <w:rPr>
          <w:rFonts w:eastAsia="Yu Mincho"/>
          <w:lang w:val="en-US" w:eastAsia="ja-JP"/>
        </w:rPr>
        <w:t>10</w:t>
      </w:r>
      <w:r w:rsidRPr="00CE52FA">
        <w:rPr>
          <w:rFonts w:eastAsia="Yu Mincho" w:hint="eastAsia"/>
          <w:lang w:val="en-US" w:eastAsia="ja-JP"/>
        </w:rPr>
        <w:t>000</w:t>
      </w:r>
      <w:r w:rsidRPr="00CE52FA">
        <w:rPr>
          <w:lang w:val="en-US"/>
        </w:rPr>
        <w:t>; Abcam, Inc., Cambridge, UK)</w:t>
      </w:r>
      <w:r w:rsidRPr="008E0E76">
        <w:rPr>
          <w:lang w:val="en-US"/>
        </w:rPr>
        <w:t xml:space="preserve"> conjugated with horseradish peroxidase was utilized as the secondary antibody. The blots were detected by </w:t>
      </w:r>
      <w:r w:rsidRPr="00CE52FA">
        <w:rPr>
          <w:lang w:val="en-US"/>
        </w:rPr>
        <w:t xml:space="preserve">the </w:t>
      </w:r>
      <w:proofErr w:type="spellStart"/>
      <w:r w:rsidRPr="00CE52FA">
        <w:rPr>
          <w:lang w:val="en-US"/>
        </w:rPr>
        <w:t>Immobilon</w:t>
      </w:r>
      <w:r w:rsidRPr="00CE52FA">
        <w:rPr>
          <w:rFonts w:eastAsia="Yu Mincho" w:hint="eastAsia"/>
          <w:vertAlign w:val="superscript"/>
          <w:lang w:val="en-US" w:eastAsia="ja-JP"/>
        </w:rPr>
        <w:t>TM</w:t>
      </w:r>
      <w:proofErr w:type="spellEnd"/>
      <w:r w:rsidRPr="00CE52FA">
        <w:rPr>
          <w:lang w:val="en-US"/>
        </w:rPr>
        <w:t xml:space="preserve"> Western Chemiluminescent HRP Substrate (</w:t>
      </w:r>
      <w:proofErr w:type="spellStart"/>
      <w:r w:rsidRPr="00CE52FA">
        <w:rPr>
          <w:lang w:val="en-US"/>
        </w:rPr>
        <w:t>Immobilon</w:t>
      </w:r>
      <w:r w:rsidRPr="00CE52FA">
        <w:rPr>
          <w:rFonts w:eastAsia="Yu Mincho" w:hint="eastAsia"/>
          <w:vertAlign w:val="superscript"/>
          <w:lang w:val="en-US" w:eastAsia="ja-JP"/>
        </w:rPr>
        <w:t>TM</w:t>
      </w:r>
      <w:proofErr w:type="spellEnd"/>
      <w:r w:rsidRPr="00CE52FA">
        <w:rPr>
          <w:rFonts w:eastAsia="Yu Mincho" w:hint="eastAsia"/>
          <w:lang w:val="en-US" w:eastAsia="ja-JP"/>
        </w:rPr>
        <w:t xml:space="preserve">, </w:t>
      </w:r>
      <w:r w:rsidRPr="00CE52FA">
        <w:rPr>
          <w:lang w:val="en-US"/>
        </w:rPr>
        <w:t>Millipore)</w:t>
      </w:r>
      <w:r w:rsidRPr="008E0E76">
        <w:rPr>
          <w:lang w:val="en-US"/>
        </w:rPr>
        <w:t>, and the gray values were analyzed by Image J software</w:t>
      </w:r>
      <w:r w:rsidR="00D50C75">
        <w:rPr>
          <w:lang w:val="en-US"/>
        </w:rPr>
        <w:t xml:space="preserve"> (ver. 1.53t)</w:t>
      </w:r>
      <w:r w:rsidR="007C0F96">
        <w:rPr>
          <w:lang w:val="en-US"/>
        </w:rPr>
        <w:t xml:space="preserve"> as integrated density</w:t>
      </w:r>
      <w:r w:rsidRPr="008E0E76">
        <w:rPr>
          <w:lang w:val="en-US"/>
        </w:rPr>
        <w:t>.</w:t>
      </w:r>
      <w:r w:rsidR="007C0F96">
        <w:rPr>
          <w:lang w:val="en-US"/>
        </w:rPr>
        <w:t xml:space="preserve"> The ratios of AT1R expression over internal standard Vinculin were calculated. The results are </w:t>
      </w:r>
      <w:r w:rsidR="00A97E7D">
        <w:rPr>
          <w:lang w:val="en-US"/>
        </w:rPr>
        <w:t>plotted</w:t>
      </w:r>
      <w:r w:rsidR="007C0F96">
        <w:rPr>
          <w:lang w:val="en-US"/>
        </w:rPr>
        <w:t xml:space="preserve"> using </w:t>
      </w:r>
      <w:proofErr w:type="spellStart"/>
      <w:r w:rsidR="007C0F96">
        <w:rPr>
          <w:lang w:val="en-US"/>
        </w:rPr>
        <w:t>Graphpad</w:t>
      </w:r>
      <w:proofErr w:type="spellEnd"/>
      <w:r w:rsidR="007C0F96">
        <w:rPr>
          <w:lang w:val="en-US"/>
        </w:rPr>
        <w:t xml:space="preserve"> Prism </w:t>
      </w:r>
      <w:r w:rsidR="007C0F96" w:rsidRPr="00121A90">
        <w:rPr>
          <w:lang w:val="en-US"/>
        </w:rPr>
        <w:t xml:space="preserve">(version </w:t>
      </w:r>
      <w:r w:rsidR="007C0F96">
        <w:rPr>
          <w:lang w:val="en-US"/>
        </w:rPr>
        <w:t>10.2.3</w:t>
      </w:r>
      <w:r w:rsidR="007C0F96" w:rsidRPr="00121A90">
        <w:rPr>
          <w:lang w:val="en-US"/>
        </w:rPr>
        <w:t xml:space="preserve"> GraphPad Software, San Diego, United States).</w:t>
      </w:r>
      <w:r w:rsidR="00771314">
        <w:rPr>
          <w:lang w:val="en-US"/>
        </w:rPr>
        <w:t xml:space="preserve"> </w:t>
      </w:r>
      <w:r w:rsidR="00771314" w:rsidRPr="00494E40">
        <w:rPr>
          <w:lang w:val="en-US"/>
        </w:rPr>
        <w:t xml:space="preserve">After confirmation of the normality of datasets using Shapiro-Wilk test, </w:t>
      </w:r>
      <w:r w:rsidR="000818CB">
        <w:rPr>
          <w:lang w:val="en-US"/>
        </w:rPr>
        <w:t xml:space="preserve">an </w:t>
      </w:r>
      <w:r w:rsidR="00771314" w:rsidRPr="00494E40">
        <w:rPr>
          <w:lang w:val="en-US"/>
        </w:rPr>
        <w:t xml:space="preserve">unpaired </w:t>
      </w:r>
      <w:r w:rsidR="000818CB">
        <w:rPr>
          <w:lang w:val="en-US"/>
        </w:rPr>
        <w:t xml:space="preserve">and two-tailed </w:t>
      </w:r>
      <w:r w:rsidR="00771314" w:rsidRPr="00494E40">
        <w:rPr>
          <w:i/>
          <w:iCs/>
          <w:lang w:val="en-US"/>
        </w:rPr>
        <w:t>t test</w:t>
      </w:r>
      <w:r w:rsidR="00771314" w:rsidRPr="00494E40">
        <w:rPr>
          <w:lang w:val="en-US"/>
        </w:rPr>
        <w:t xml:space="preserve"> was performed to examine the difference.</w:t>
      </w:r>
    </w:p>
    <w:p w14:paraId="64FB5F12" w14:textId="44650F57" w:rsidR="0008766E" w:rsidRDefault="0008766E" w:rsidP="00470D15">
      <w:pPr>
        <w:rPr>
          <w:lang w:val="en-US"/>
        </w:rPr>
      </w:pPr>
      <w:r>
        <w:rPr>
          <w:lang w:val="en-US"/>
        </w:rPr>
        <w:br w:type="page"/>
      </w:r>
    </w:p>
    <w:p w14:paraId="7A490CD7" w14:textId="77777777" w:rsidR="009E3473" w:rsidRDefault="009E3473" w:rsidP="009E3473">
      <w:pPr>
        <w:spacing w:before="120" w:after="120"/>
        <w:jc w:val="both"/>
        <w:rPr>
          <w:lang w:val="en-US"/>
        </w:rPr>
      </w:pPr>
      <w:r w:rsidRPr="00CA58F8">
        <w:rPr>
          <w:b/>
          <w:bCs/>
          <w:lang w:val="en-US"/>
        </w:rPr>
        <w:lastRenderedPageBreak/>
        <w:t xml:space="preserve">Table </w:t>
      </w:r>
      <w:r>
        <w:rPr>
          <w:b/>
          <w:bCs/>
          <w:lang w:val="en-US"/>
        </w:rPr>
        <w:t>S1</w:t>
      </w:r>
      <w:r w:rsidRPr="00CA58F8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B628FC">
        <w:rPr>
          <w:lang w:val="en-US"/>
        </w:rPr>
        <w:t xml:space="preserve">Results of the Shapiro-Wilk normality test for in biodistribution data in kidneys and adrenal glands as well as liver/kidney-to-blood ratios conducted in healthy Wistar rats under different blocking conditions. </w:t>
      </w:r>
      <w:r w:rsidRPr="00410328">
        <w:rPr>
          <w:lang w:val="en-US"/>
        </w:rPr>
        <w:t>The Shapiro-Wilk test indicated no significant departure from normality in any dataset, justifying the use of parametric statistical analysis</w:t>
      </w:r>
      <w:r>
        <w:rPr>
          <w:lang w:val="en-US"/>
        </w:rPr>
        <w:t xml:space="preserve"> for the corresponding data presented in </w:t>
      </w:r>
      <w:r w:rsidRPr="004F1304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2</w:t>
      </w:r>
      <w:r w:rsidRPr="00410328">
        <w:rPr>
          <w:lang w:val="en-US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386"/>
        <w:gridCol w:w="2254"/>
      </w:tblGrid>
      <w:tr w:rsidR="009E3473" w14:paraId="167251DD" w14:textId="77777777" w:rsidTr="007733A5">
        <w:tc>
          <w:tcPr>
            <w:tcW w:w="212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F7E9787" w14:textId="77777777" w:rsidR="009E3473" w:rsidRPr="002A4DB1" w:rsidRDefault="009E3473" w:rsidP="007733A5">
            <w:pPr>
              <w:spacing w:before="120" w:after="120"/>
              <w:jc w:val="both"/>
              <w:rPr>
                <w:b/>
                <w:bCs/>
                <w:lang w:val="en-US"/>
              </w:rPr>
            </w:pPr>
            <w:r w:rsidRPr="002A4DB1">
              <w:rPr>
                <w:b/>
                <w:bCs/>
                <w:lang w:val="en-US"/>
              </w:rPr>
              <w:t>Biodistribution</w:t>
            </w:r>
          </w:p>
        </w:tc>
        <w:tc>
          <w:tcPr>
            <w:tcW w:w="238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68806D0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Kidneys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B7A1B32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Adrenal gland</w:t>
            </w:r>
          </w:p>
        </w:tc>
      </w:tr>
      <w:tr w:rsidR="009E3473" w14:paraId="76F24299" w14:textId="77777777" w:rsidTr="007733A5">
        <w:tc>
          <w:tcPr>
            <w:tcW w:w="2122" w:type="dxa"/>
            <w:tcBorders>
              <w:top w:val="nil"/>
              <w:bottom w:val="nil"/>
            </w:tcBorders>
          </w:tcPr>
          <w:p w14:paraId="3ABB5923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lang w:val="en-US"/>
              </w:rPr>
              <w:t>NTZ+RIF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14:paraId="405762FD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 w:rsidRPr="008B5DAB">
              <w:rPr>
                <w:lang w:val="en-US"/>
              </w:rPr>
              <w:t>(4) = .85</w:t>
            </w:r>
            <w:r>
              <w:rPr>
                <w:lang w:val="en-US"/>
              </w:rPr>
              <w:t>14</w:t>
            </w:r>
          </w:p>
          <w:p w14:paraId="737D647D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 w:rsidRPr="008B5DAB">
              <w:rPr>
                <w:lang w:val="en-US"/>
              </w:rPr>
              <w:t xml:space="preserve"> = .23</w:t>
            </w:r>
            <w:r>
              <w:rPr>
                <w:lang w:val="en-US"/>
              </w:rPr>
              <w:t>09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14:paraId="2C8514C9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 w:rsidRPr="008B5DAB">
              <w:rPr>
                <w:lang w:val="en-US"/>
              </w:rPr>
              <w:t>(4) = .</w:t>
            </w:r>
            <w:r>
              <w:rPr>
                <w:lang w:val="en-US"/>
              </w:rPr>
              <w:t>9251</w:t>
            </w:r>
          </w:p>
          <w:p w14:paraId="087B22CA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 w:rsidRPr="008B5DAB">
              <w:rPr>
                <w:lang w:val="en-US"/>
              </w:rPr>
              <w:t xml:space="preserve"> = .</w:t>
            </w:r>
            <w:r>
              <w:rPr>
                <w:lang w:val="en-US"/>
              </w:rPr>
              <w:t>5657</w:t>
            </w:r>
          </w:p>
        </w:tc>
      </w:tr>
      <w:tr w:rsidR="009E3473" w14:paraId="3B25D595" w14:textId="77777777" w:rsidTr="007733A5">
        <w:tc>
          <w:tcPr>
            <w:tcW w:w="2122" w:type="dxa"/>
            <w:tcBorders>
              <w:top w:val="nil"/>
            </w:tcBorders>
            <w:shd w:val="clear" w:color="auto" w:fill="E7E6E6" w:themeFill="background2"/>
          </w:tcPr>
          <w:p w14:paraId="46F1CFA8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NTZ+RIF+CAN</w:t>
            </w:r>
          </w:p>
        </w:tc>
        <w:tc>
          <w:tcPr>
            <w:tcW w:w="2386" w:type="dxa"/>
            <w:tcBorders>
              <w:top w:val="nil"/>
            </w:tcBorders>
            <w:shd w:val="clear" w:color="auto" w:fill="E7E6E6" w:themeFill="background2"/>
          </w:tcPr>
          <w:p w14:paraId="45B84569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(4) = .8623</w:t>
            </w:r>
          </w:p>
          <w:p w14:paraId="494B9DC4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.2685</w:t>
            </w:r>
          </w:p>
        </w:tc>
        <w:tc>
          <w:tcPr>
            <w:tcW w:w="2254" w:type="dxa"/>
            <w:tcBorders>
              <w:top w:val="nil"/>
            </w:tcBorders>
            <w:shd w:val="clear" w:color="auto" w:fill="E7E6E6" w:themeFill="background2"/>
          </w:tcPr>
          <w:p w14:paraId="74F0531F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(4) = .9103</w:t>
            </w:r>
          </w:p>
          <w:p w14:paraId="42B1D42F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.4839</w:t>
            </w:r>
          </w:p>
        </w:tc>
      </w:tr>
    </w:tbl>
    <w:p w14:paraId="357F8C0C" w14:textId="77777777" w:rsidR="009E3473" w:rsidRDefault="009E3473" w:rsidP="009E3473">
      <w:pPr>
        <w:spacing w:before="120" w:after="120"/>
        <w:jc w:val="both"/>
        <w:rPr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386"/>
        <w:gridCol w:w="2254"/>
      </w:tblGrid>
      <w:tr w:rsidR="009E3473" w14:paraId="387CFFC7" w14:textId="77777777" w:rsidTr="007733A5">
        <w:tc>
          <w:tcPr>
            <w:tcW w:w="212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92C76CE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</w:p>
        </w:tc>
        <w:tc>
          <w:tcPr>
            <w:tcW w:w="238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9D6C3DB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Liver/blood ratio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F248E88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Kidney/blood ratio</w:t>
            </w:r>
          </w:p>
        </w:tc>
      </w:tr>
      <w:tr w:rsidR="009E3473" w14:paraId="1517C752" w14:textId="77777777" w:rsidTr="007733A5">
        <w:tc>
          <w:tcPr>
            <w:tcW w:w="2122" w:type="dxa"/>
            <w:tcBorders>
              <w:bottom w:val="nil"/>
            </w:tcBorders>
          </w:tcPr>
          <w:p w14:paraId="2E6D3F40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Vehicle</w:t>
            </w:r>
          </w:p>
        </w:tc>
        <w:tc>
          <w:tcPr>
            <w:tcW w:w="2386" w:type="dxa"/>
            <w:tcBorders>
              <w:bottom w:val="nil"/>
            </w:tcBorders>
          </w:tcPr>
          <w:p w14:paraId="30203871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(3) = .9091</w:t>
            </w:r>
          </w:p>
          <w:p w14:paraId="5F2217BF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.4152</w:t>
            </w:r>
          </w:p>
        </w:tc>
        <w:tc>
          <w:tcPr>
            <w:tcW w:w="2254" w:type="dxa"/>
            <w:tcBorders>
              <w:bottom w:val="nil"/>
            </w:tcBorders>
          </w:tcPr>
          <w:p w14:paraId="39F5EC47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(3) = .8588</w:t>
            </w:r>
          </w:p>
          <w:p w14:paraId="2A763D3B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.2644</w:t>
            </w:r>
          </w:p>
        </w:tc>
      </w:tr>
      <w:tr w:rsidR="009E3473" w14:paraId="275C5201" w14:textId="77777777" w:rsidTr="007733A5">
        <w:tc>
          <w:tcPr>
            <w:tcW w:w="2122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4C4641D2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lang w:val="de-DE"/>
              </w:rPr>
              <w:t>NTZ</w:t>
            </w:r>
          </w:p>
        </w:tc>
        <w:tc>
          <w:tcPr>
            <w:tcW w:w="2386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3E57F57F" w14:textId="77777777" w:rsidR="009E3473" w:rsidRDefault="009E3473" w:rsidP="007733A5">
            <w:pPr>
              <w:spacing w:before="120" w:after="120"/>
              <w:jc w:val="both"/>
              <w:rPr>
                <w:lang w:val="de-DE"/>
              </w:rPr>
            </w:pPr>
            <w:r w:rsidRPr="008B5DAB">
              <w:rPr>
                <w:i/>
                <w:iCs/>
                <w:lang w:val="de-DE"/>
              </w:rPr>
              <w:t>W</w:t>
            </w:r>
            <w:r w:rsidRPr="008B5DAB">
              <w:rPr>
                <w:lang w:val="de-DE"/>
              </w:rPr>
              <w:t>(3) = .9992</w:t>
            </w:r>
          </w:p>
          <w:p w14:paraId="4F71EBAB" w14:textId="77777777" w:rsidR="009E3473" w:rsidRPr="008B5DAB" w:rsidRDefault="009E3473" w:rsidP="007733A5">
            <w:pPr>
              <w:spacing w:before="120" w:after="120"/>
              <w:jc w:val="both"/>
              <w:rPr>
                <w:lang w:val="de-DE"/>
              </w:rPr>
            </w:pPr>
            <w:r w:rsidRPr="008B5DAB">
              <w:rPr>
                <w:i/>
                <w:iCs/>
                <w:lang w:val="de-DE"/>
              </w:rPr>
              <w:t>p</w:t>
            </w:r>
            <w:r w:rsidRPr="008B5DAB">
              <w:rPr>
                <w:lang w:val="de-DE"/>
              </w:rPr>
              <w:t xml:space="preserve"> = .9469</w:t>
            </w:r>
          </w:p>
        </w:tc>
        <w:tc>
          <w:tcPr>
            <w:tcW w:w="2254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606AD37D" w14:textId="77777777" w:rsidR="009E3473" w:rsidRDefault="009E3473" w:rsidP="007733A5">
            <w:pPr>
              <w:spacing w:before="120" w:after="120"/>
              <w:jc w:val="both"/>
              <w:rPr>
                <w:lang w:val="de-DE"/>
              </w:rPr>
            </w:pPr>
            <w:r w:rsidRPr="008B5DAB">
              <w:rPr>
                <w:i/>
                <w:iCs/>
                <w:lang w:val="de-DE"/>
              </w:rPr>
              <w:t>W</w:t>
            </w:r>
            <w:r w:rsidRPr="008B5DAB">
              <w:rPr>
                <w:lang w:val="de-DE"/>
              </w:rPr>
              <w:t>(3) = .</w:t>
            </w:r>
            <w:r>
              <w:rPr>
                <w:lang w:val="de-DE"/>
              </w:rPr>
              <w:t>8534</w:t>
            </w:r>
          </w:p>
          <w:p w14:paraId="7D40507A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de-DE"/>
              </w:rPr>
              <w:t>p</w:t>
            </w:r>
            <w:r w:rsidRPr="008B5DAB">
              <w:rPr>
                <w:lang w:val="de-DE"/>
              </w:rPr>
              <w:t xml:space="preserve"> = .</w:t>
            </w:r>
            <w:r>
              <w:rPr>
                <w:lang w:val="de-DE"/>
              </w:rPr>
              <w:t>2496</w:t>
            </w:r>
          </w:p>
        </w:tc>
      </w:tr>
      <w:tr w:rsidR="009E3473" w14:paraId="7D553FE4" w14:textId="77777777" w:rsidTr="007733A5">
        <w:tc>
          <w:tcPr>
            <w:tcW w:w="2122" w:type="dxa"/>
            <w:tcBorders>
              <w:top w:val="nil"/>
              <w:bottom w:val="nil"/>
            </w:tcBorders>
          </w:tcPr>
          <w:p w14:paraId="1BC2C99B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lang w:val="en-US"/>
              </w:rPr>
              <w:t>NTZ+RIF</w:t>
            </w:r>
          </w:p>
        </w:tc>
        <w:tc>
          <w:tcPr>
            <w:tcW w:w="2386" w:type="dxa"/>
            <w:tcBorders>
              <w:top w:val="nil"/>
              <w:bottom w:val="nil"/>
            </w:tcBorders>
          </w:tcPr>
          <w:p w14:paraId="1ABCFF9A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 w:rsidRPr="008B5DAB">
              <w:rPr>
                <w:lang w:val="en-US"/>
              </w:rPr>
              <w:t>(4) = .8529</w:t>
            </w:r>
          </w:p>
          <w:p w14:paraId="5FA66493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 w:rsidRPr="008B5DAB">
              <w:rPr>
                <w:lang w:val="en-US"/>
              </w:rPr>
              <w:t xml:space="preserve"> = .2357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14:paraId="0D6D4CFF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 w:rsidRPr="008B5DAB">
              <w:rPr>
                <w:lang w:val="en-US"/>
              </w:rPr>
              <w:t>(4) = .</w:t>
            </w:r>
            <w:r>
              <w:rPr>
                <w:lang w:val="en-US"/>
              </w:rPr>
              <w:t>8324</w:t>
            </w:r>
          </w:p>
          <w:p w14:paraId="352F9433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 w:rsidRPr="008B5DAB">
              <w:rPr>
                <w:lang w:val="en-US"/>
              </w:rPr>
              <w:t xml:space="preserve"> = .</w:t>
            </w:r>
            <w:r>
              <w:rPr>
                <w:lang w:val="en-US"/>
              </w:rPr>
              <w:t>1741</w:t>
            </w:r>
          </w:p>
        </w:tc>
      </w:tr>
      <w:tr w:rsidR="009E3473" w14:paraId="3ADCF5B3" w14:textId="77777777" w:rsidTr="007733A5">
        <w:tc>
          <w:tcPr>
            <w:tcW w:w="2122" w:type="dxa"/>
            <w:tcBorders>
              <w:top w:val="nil"/>
            </w:tcBorders>
            <w:shd w:val="clear" w:color="auto" w:fill="E7E6E6" w:themeFill="background2"/>
          </w:tcPr>
          <w:p w14:paraId="4A810616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NTZ+RIF+CAN</w:t>
            </w:r>
          </w:p>
        </w:tc>
        <w:tc>
          <w:tcPr>
            <w:tcW w:w="2386" w:type="dxa"/>
            <w:tcBorders>
              <w:top w:val="nil"/>
            </w:tcBorders>
            <w:shd w:val="clear" w:color="auto" w:fill="E7E6E6" w:themeFill="background2"/>
          </w:tcPr>
          <w:p w14:paraId="52D3685C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(4) = .9281</w:t>
            </w:r>
          </w:p>
          <w:p w14:paraId="1357809E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.5836</w:t>
            </w:r>
          </w:p>
        </w:tc>
        <w:tc>
          <w:tcPr>
            <w:tcW w:w="2254" w:type="dxa"/>
            <w:tcBorders>
              <w:top w:val="nil"/>
            </w:tcBorders>
            <w:shd w:val="clear" w:color="auto" w:fill="E7E6E6" w:themeFill="background2"/>
          </w:tcPr>
          <w:p w14:paraId="1EEDF628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(4) = .8938</w:t>
            </w:r>
          </w:p>
          <w:p w14:paraId="2A091E52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.4009</w:t>
            </w:r>
          </w:p>
        </w:tc>
      </w:tr>
    </w:tbl>
    <w:p w14:paraId="49CA998F" w14:textId="77777777" w:rsidR="009E3473" w:rsidRDefault="009E3473" w:rsidP="009E3473">
      <w:pPr>
        <w:spacing w:before="120" w:after="120"/>
        <w:jc w:val="both"/>
        <w:rPr>
          <w:lang w:val="en-US"/>
        </w:rPr>
      </w:pPr>
    </w:p>
    <w:p w14:paraId="7C71F25D" w14:textId="77777777" w:rsidR="009E3473" w:rsidRDefault="009E3473" w:rsidP="009E3473">
      <w:pPr>
        <w:rPr>
          <w:lang w:val="en-US"/>
        </w:rPr>
      </w:pPr>
      <w:r>
        <w:rPr>
          <w:lang w:val="en-US"/>
        </w:rPr>
        <w:br w:type="page"/>
      </w:r>
    </w:p>
    <w:p w14:paraId="3A6BDDCF" w14:textId="77777777" w:rsidR="009E3473" w:rsidRDefault="009E3473" w:rsidP="009E3473">
      <w:pPr>
        <w:spacing w:before="120" w:after="120"/>
        <w:jc w:val="both"/>
        <w:rPr>
          <w:lang w:val="en-US"/>
        </w:rPr>
      </w:pPr>
    </w:p>
    <w:p w14:paraId="572929FC" w14:textId="77777777" w:rsidR="009E3473" w:rsidRDefault="009E3473" w:rsidP="009E3473">
      <w:pPr>
        <w:spacing w:before="120" w:after="120"/>
        <w:jc w:val="both"/>
        <w:rPr>
          <w:lang w:val="en-US"/>
        </w:rPr>
      </w:pPr>
      <w:r w:rsidRPr="00591EB3">
        <w:rPr>
          <w:b/>
          <w:bCs/>
          <w:lang w:val="en-US"/>
        </w:rPr>
        <w:t xml:space="preserve">Table </w:t>
      </w:r>
      <w:r>
        <w:rPr>
          <w:b/>
          <w:bCs/>
          <w:lang w:val="en-US"/>
        </w:rPr>
        <w:t>S2</w:t>
      </w:r>
      <w:r w:rsidRPr="00591EB3">
        <w:rPr>
          <w:b/>
          <w:bCs/>
          <w:lang w:val="en-US"/>
        </w:rPr>
        <w:t>.</w:t>
      </w:r>
      <w:r>
        <w:rPr>
          <w:lang w:val="en-US"/>
        </w:rPr>
        <w:t xml:space="preserve"> Summary of Shapiro-Wilk normality test results</w:t>
      </w:r>
      <w:r w:rsidRPr="00410328">
        <w:rPr>
          <w:lang w:val="en-US"/>
        </w:rPr>
        <w:t xml:space="preserve">. </w:t>
      </w:r>
      <w:r>
        <w:rPr>
          <w:lang w:val="en-US"/>
        </w:rPr>
        <w:t xml:space="preserve">This includes: 1) </w:t>
      </w:r>
      <w:r w:rsidRPr="00410328">
        <w:rPr>
          <w:lang w:val="en-US"/>
        </w:rPr>
        <w:t xml:space="preserve">standard uptake values (SUVs) </w:t>
      </w:r>
      <w:r>
        <w:rPr>
          <w:lang w:val="en-US"/>
        </w:rPr>
        <w:t>from</w:t>
      </w:r>
      <w:r w:rsidRPr="00410328">
        <w:rPr>
          <w:lang w:val="en-US"/>
        </w:rPr>
        <w:t xml:space="preserve"> blood and kidney biodistribution studies conducted in both </w:t>
      </w:r>
      <w:r>
        <w:rPr>
          <w:lang w:val="en-US"/>
        </w:rPr>
        <w:t>normotensive</w:t>
      </w:r>
      <w:r w:rsidRPr="00410328">
        <w:rPr>
          <w:lang w:val="en-US"/>
        </w:rPr>
        <w:t xml:space="preserve"> (WKY/</w:t>
      </w:r>
      <w:proofErr w:type="spellStart"/>
      <w:r w:rsidRPr="00410328">
        <w:rPr>
          <w:lang w:val="en-US"/>
        </w:rPr>
        <w:t>Izm</w:t>
      </w:r>
      <w:proofErr w:type="spellEnd"/>
      <w:r w:rsidRPr="00410328">
        <w:rPr>
          <w:lang w:val="en-US"/>
        </w:rPr>
        <w:t>) and hypertensive (SHR/</w:t>
      </w:r>
      <w:proofErr w:type="spellStart"/>
      <w:r w:rsidRPr="00410328">
        <w:rPr>
          <w:lang w:val="en-US"/>
        </w:rPr>
        <w:t>Izm</w:t>
      </w:r>
      <w:proofErr w:type="spellEnd"/>
      <w:r w:rsidRPr="00410328">
        <w:rPr>
          <w:lang w:val="en-US"/>
        </w:rPr>
        <w:t>) rats under different blocking conditions</w:t>
      </w:r>
      <w:r>
        <w:rPr>
          <w:lang w:val="en-US"/>
        </w:rPr>
        <w:t xml:space="preserve"> (n = 5 per group), 2) Western Blot analysis from kidney tissues of WKY/</w:t>
      </w:r>
      <w:proofErr w:type="spellStart"/>
      <w:r>
        <w:rPr>
          <w:lang w:val="en-US"/>
        </w:rPr>
        <w:t>Izm</w:t>
      </w:r>
      <w:proofErr w:type="spellEnd"/>
      <w:r>
        <w:rPr>
          <w:lang w:val="en-US"/>
        </w:rPr>
        <w:t xml:space="preserve"> and SHR/</w:t>
      </w:r>
      <w:proofErr w:type="spellStart"/>
      <w:r>
        <w:rPr>
          <w:lang w:val="en-US"/>
        </w:rPr>
        <w:t>Izm</w:t>
      </w:r>
      <w:proofErr w:type="spellEnd"/>
      <w:r>
        <w:rPr>
          <w:lang w:val="en-US"/>
        </w:rPr>
        <w:t xml:space="preserve"> rats (n = 4 per group, duplicate of each kidney sample)</w:t>
      </w:r>
      <w:r w:rsidRPr="00410328">
        <w:rPr>
          <w:lang w:val="en-US"/>
        </w:rPr>
        <w:t xml:space="preserve">. </w:t>
      </w:r>
      <w:r>
        <w:rPr>
          <w:lang w:val="en-US"/>
        </w:rPr>
        <w:t>For all datasets, t</w:t>
      </w:r>
      <w:r w:rsidRPr="00410328">
        <w:rPr>
          <w:lang w:val="en-US"/>
        </w:rPr>
        <w:t>he Shapiro-Wilk test</w:t>
      </w:r>
      <w:r>
        <w:rPr>
          <w:lang w:val="en-US"/>
        </w:rPr>
        <w:t>s</w:t>
      </w:r>
      <w:r w:rsidRPr="00410328">
        <w:rPr>
          <w:lang w:val="en-US"/>
        </w:rPr>
        <w:t xml:space="preserve"> indicated no significant departure from normality, supporting the use of parametric statistical analysis</w:t>
      </w:r>
      <w:r>
        <w:rPr>
          <w:lang w:val="en-US"/>
        </w:rPr>
        <w:t xml:space="preserve"> for the corresponding data presented in </w:t>
      </w:r>
      <w:r w:rsidRPr="004F1304">
        <w:rPr>
          <w:b/>
          <w:bCs/>
          <w:lang w:val="en-US"/>
        </w:rPr>
        <w:t>Figure 5</w:t>
      </w:r>
      <w:r w:rsidRPr="00410328">
        <w:rPr>
          <w:lang w:val="en-US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386"/>
        <w:gridCol w:w="2254"/>
      </w:tblGrid>
      <w:tr w:rsidR="009E3473" w14:paraId="7A9FE474" w14:textId="77777777" w:rsidTr="007733A5">
        <w:tc>
          <w:tcPr>
            <w:tcW w:w="212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13C95F1" w14:textId="77777777" w:rsidR="009E3473" w:rsidRPr="004D579C" w:rsidRDefault="009E3473" w:rsidP="007733A5">
            <w:pPr>
              <w:spacing w:before="120" w:after="120"/>
              <w:jc w:val="both"/>
              <w:rPr>
                <w:b/>
                <w:bCs/>
                <w:lang w:val="en-US"/>
              </w:rPr>
            </w:pPr>
            <w:r w:rsidRPr="004D579C">
              <w:rPr>
                <w:b/>
                <w:bCs/>
                <w:lang w:val="en-US"/>
              </w:rPr>
              <w:t>SUV</w:t>
            </w:r>
          </w:p>
        </w:tc>
        <w:tc>
          <w:tcPr>
            <w:tcW w:w="238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C511FE1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Blood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F40F910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Kidney</w:t>
            </w:r>
          </w:p>
        </w:tc>
      </w:tr>
      <w:tr w:rsidR="009E3473" w14:paraId="63B4595F" w14:textId="77777777" w:rsidTr="007733A5">
        <w:tc>
          <w:tcPr>
            <w:tcW w:w="2122" w:type="dxa"/>
            <w:tcBorders>
              <w:bottom w:val="nil"/>
            </w:tcBorders>
          </w:tcPr>
          <w:p w14:paraId="630C29E7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Normotensive (WKY/</w:t>
            </w:r>
            <w:proofErr w:type="spellStart"/>
            <w:r>
              <w:rPr>
                <w:lang w:val="en-US"/>
              </w:rPr>
              <w:t>Izm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386" w:type="dxa"/>
            <w:tcBorders>
              <w:bottom w:val="nil"/>
            </w:tcBorders>
          </w:tcPr>
          <w:p w14:paraId="64B0752F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(5) = .9212</w:t>
            </w:r>
          </w:p>
          <w:p w14:paraId="608C65FD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.5376</w:t>
            </w:r>
          </w:p>
        </w:tc>
        <w:tc>
          <w:tcPr>
            <w:tcW w:w="2254" w:type="dxa"/>
            <w:tcBorders>
              <w:bottom w:val="nil"/>
            </w:tcBorders>
          </w:tcPr>
          <w:p w14:paraId="0531738E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(5) = .9760</w:t>
            </w:r>
          </w:p>
          <w:p w14:paraId="552ABD7D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.9122</w:t>
            </w:r>
          </w:p>
        </w:tc>
      </w:tr>
      <w:tr w:rsidR="009E3473" w14:paraId="3D98D469" w14:textId="77777777" w:rsidTr="007733A5">
        <w:tc>
          <w:tcPr>
            <w:tcW w:w="212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18D5801C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de-DE"/>
              </w:rPr>
              <w:t>Hypertensive (SHR/</w:t>
            </w:r>
            <w:proofErr w:type="spellStart"/>
            <w:r>
              <w:rPr>
                <w:lang w:val="de-DE"/>
              </w:rPr>
              <w:t>Izm</w:t>
            </w:r>
            <w:proofErr w:type="spellEnd"/>
            <w:r>
              <w:rPr>
                <w:lang w:val="de-DE"/>
              </w:rPr>
              <w:t>)</w:t>
            </w:r>
          </w:p>
        </w:tc>
        <w:tc>
          <w:tcPr>
            <w:tcW w:w="2386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51A0698B" w14:textId="77777777" w:rsidR="009E3473" w:rsidRDefault="009E3473" w:rsidP="007733A5">
            <w:pPr>
              <w:spacing w:before="120" w:after="120"/>
              <w:jc w:val="both"/>
              <w:rPr>
                <w:lang w:val="de-DE"/>
              </w:rPr>
            </w:pPr>
            <w:r w:rsidRPr="008B5DAB">
              <w:rPr>
                <w:i/>
                <w:iCs/>
                <w:lang w:val="de-DE"/>
              </w:rPr>
              <w:t>W</w:t>
            </w:r>
            <w:r w:rsidRPr="008B5DAB">
              <w:rPr>
                <w:lang w:val="de-DE"/>
              </w:rPr>
              <w:t>(</w:t>
            </w:r>
            <w:r>
              <w:rPr>
                <w:lang w:val="de-DE"/>
              </w:rPr>
              <w:t>5</w:t>
            </w:r>
            <w:r w:rsidRPr="008B5DAB">
              <w:rPr>
                <w:lang w:val="de-DE"/>
              </w:rPr>
              <w:t>) = .</w:t>
            </w:r>
            <w:r>
              <w:rPr>
                <w:lang w:val="de-DE"/>
              </w:rPr>
              <w:t>9605</w:t>
            </w:r>
          </w:p>
          <w:p w14:paraId="11FDDC41" w14:textId="77777777" w:rsidR="009E3473" w:rsidRPr="008B5DAB" w:rsidRDefault="009E3473" w:rsidP="007733A5">
            <w:pPr>
              <w:spacing w:before="120" w:after="120"/>
              <w:jc w:val="both"/>
              <w:rPr>
                <w:lang w:val="de-DE"/>
              </w:rPr>
            </w:pPr>
            <w:r w:rsidRPr="008B5DAB">
              <w:rPr>
                <w:i/>
                <w:iCs/>
                <w:lang w:val="de-DE"/>
              </w:rPr>
              <w:t>p</w:t>
            </w:r>
            <w:r w:rsidRPr="008B5DAB">
              <w:rPr>
                <w:lang w:val="de-DE"/>
              </w:rPr>
              <w:t xml:space="preserve"> = .</w:t>
            </w:r>
            <w:r>
              <w:rPr>
                <w:lang w:val="de-DE"/>
              </w:rPr>
              <w:t>8113</w:t>
            </w:r>
          </w:p>
        </w:tc>
        <w:tc>
          <w:tcPr>
            <w:tcW w:w="225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52F76C86" w14:textId="77777777" w:rsidR="009E3473" w:rsidRDefault="009E3473" w:rsidP="007733A5">
            <w:pPr>
              <w:spacing w:before="120" w:after="120"/>
              <w:jc w:val="both"/>
              <w:rPr>
                <w:lang w:val="de-DE"/>
              </w:rPr>
            </w:pPr>
            <w:r w:rsidRPr="008B5DAB">
              <w:rPr>
                <w:i/>
                <w:iCs/>
                <w:lang w:val="de-DE"/>
              </w:rPr>
              <w:t>W</w:t>
            </w:r>
            <w:r w:rsidRPr="008B5DAB">
              <w:rPr>
                <w:lang w:val="de-DE"/>
              </w:rPr>
              <w:t>(</w:t>
            </w:r>
            <w:r>
              <w:rPr>
                <w:lang w:val="de-DE"/>
              </w:rPr>
              <w:t>5</w:t>
            </w:r>
            <w:r w:rsidRPr="008B5DAB">
              <w:rPr>
                <w:lang w:val="de-DE"/>
              </w:rPr>
              <w:t>) = .</w:t>
            </w:r>
            <w:r>
              <w:rPr>
                <w:lang w:val="de-DE"/>
              </w:rPr>
              <w:t>9392</w:t>
            </w:r>
          </w:p>
          <w:p w14:paraId="790B3262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de-DE"/>
              </w:rPr>
              <w:t>p</w:t>
            </w:r>
            <w:r w:rsidRPr="008B5DAB">
              <w:rPr>
                <w:lang w:val="de-DE"/>
              </w:rPr>
              <w:t xml:space="preserve"> = .</w:t>
            </w:r>
            <w:r>
              <w:rPr>
                <w:lang w:val="de-DE"/>
              </w:rPr>
              <w:t>6603</w:t>
            </w:r>
          </w:p>
        </w:tc>
      </w:tr>
    </w:tbl>
    <w:p w14:paraId="2B198EE5" w14:textId="77777777" w:rsidR="009E3473" w:rsidRDefault="009E3473" w:rsidP="009E3473">
      <w:pPr>
        <w:spacing w:before="120" w:after="120"/>
        <w:jc w:val="both"/>
        <w:rPr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54"/>
      </w:tblGrid>
      <w:tr w:rsidR="009E3473" w14:paraId="008FBF84" w14:textId="77777777" w:rsidTr="007733A5">
        <w:tc>
          <w:tcPr>
            <w:tcW w:w="212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E8BBD5D" w14:textId="77777777" w:rsidR="009E3473" w:rsidRPr="004D579C" w:rsidRDefault="009E3473" w:rsidP="007733A5">
            <w:pPr>
              <w:spacing w:before="120" w:after="120"/>
              <w:jc w:val="both"/>
              <w:rPr>
                <w:b/>
                <w:bCs/>
                <w:lang w:val="en-US"/>
              </w:rPr>
            </w:pPr>
            <w:r w:rsidRPr="004D579C">
              <w:rPr>
                <w:b/>
                <w:bCs/>
                <w:lang w:val="en-US"/>
              </w:rPr>
              <w:t>Western Blot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1EC47EB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Kidney</w:t>
            </w:r>
          </w:p>
        </w:tc>
      </w:tr>
      <w:tr w:rsidR="009E3473" w14:paraId="4037D6A5" w14:textId="77777777" w:rsidTr="007733A5">
        <w:tc>
          <w:tcPr>
            <w:tcW w:w="2122" w:type="dxa"/>
            <w:tcBorders>
              <w:bottom w:val="nil"/>
            </w:tcBorders>
          </w:tcPr>
          <w:p w14:paraId="25B2E6D3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en-US"/>
              </w:rPr>
              <w:t>Normotensive (WKY/</w:t>
            </w:r>
            <w:proofErr w:type="spellStart"/>
            <w:r>
              <w:rPr>
                <w:lang w:val="en-US"/>
              </w:rPr>
              <w:t>Izm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254" w:type="dxa"/>
            <w:tcBorders>
              <w:bottom w:val="nil"/>
            </w:tcBorders>
          </w:tcPr>
          <w:p w14:paraId="5B4DE526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W</w:t>
            </w:r>
            <w:r>
              <w:rPr>
                <w:lang w:val="en-US"/>
              </w:rPr>
              <w:t>(8) = .9349</w:t>
            </w:r>
          </w:p>
          <w:p w14:paraId="565CC67F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en-US"/>
              </w:rPr>
              <w:t>p</w:t>
            </w:r>
            <w:r>
              <w:rPr>
                <w:lang w:val="en-US"/>
              </w:rPr>
              <w:t xml:space="preserve"> = .5616</w:t>
            </w:r>
          </w:p>
        </w:tc>
      </w:tr>
      <w:tr w:rsidR="009E3473" w14:paraId="3CBD8FA4" w14:textId="77777777" w:rsidTr="007733A5">
        <w:tc>
          <w:tcPr>
            <w:tcW w:w="212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39324FFC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>
              <w:rPr>
                <w:lang w:val="de-DE"/>
              </w:rPr>
              <w:t>Hypertensive (SHR/</w:t>
            </w:r>
            <w:proofErr w:type="spellStart"/>
            <w:r>
              <w:rPr>
                <w:lang w:val="de-DE"/>
              </w:rPr>
              <w:t>Izm</w:t>
            </w:r>
            <w:proofErr w:type="spellEnd"/>
            <w:r>
              <w:rPr>
                <w:lang w:val="de-DE"/>
              </w:rPr>
              <w:t>)</w:t>
            </w:r>
          </w:p>
        </w:tc>
        <w:tc>
          <w:tcPr>
            <w:tcW w:w="2254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5A333A6E" w14:textId="77777777" w:rsidR="009E3473" w:rsidRDefault="009E3473" w:rsidP="007733A5">
            <w:pPr>
              <w:spacing w:before="120" w:after="120"/>
              <w:jc w:val="both"/>
              <w:rPr>
                <w:lang w:val="de-DE"/>
              </w:rPr>
            </w:pPr>
            <w:r w:rsidRPr="008B5DAB">
              <w:rPr>
                <w:i/>
                <w:iCs/>
                <w:lang w:val="de-DE"/>
              </w:rPr>
              <w:t>W</w:t>
            </w:r>
            <w:r w:rsidRPr="008B5DAB">
              <w:rPr>
                <w:lang w:val="de-DE"/>
              </w:rPr>
              <w:t>(</w:t>
            </w:r>
            <w:r>
              <w:rPr>
                <w:lang w:val="de-DE"/>
              </w:rPr>
              <w:t>8</w:t>
            </w:r>
            <w:r w:rsidRPr="008B5DAB">
              <w:rPr>
                <w:lang w:val="de-DE"/>
              </w:rPr>
              <w:t>) = .</w:t>
            </w:r>
            <w:r>
              <w:rPr>
                <w:lang w:val="de-DE"/>
              </w:rPr>
              <w:t>9525</w:t>
            </w:r>
          </w:p>
          <w:p w14:paraId="7A557D87" w14:textId="77777777" w:rsidR="009E3473" w:rsidRDefault="009E3473" w:rsidP="007733A5">
            <w:pPr>
              <w:spacing w:before="120" w:after="120"/>
              <w:jc w:val="both"/>
              <w:rPr>
                <w:lang w:val="en-US"/>
              </w:rPr>
            </w:pPr>
            <w:r w:rsidRPr="008B5DAB">
              <w:rPr>
                <w:i/>
                <w:iCs/>
                <w:lang w:val="de-DE"/>
              </w:rPr>
              <w:t>p</w:t>
            </w:r>
            <w:r w:rsidRPr="008B5DAB">
              <w:rPr>
                <w:lang w:val="de-DE"/>
              </w:rPr>
              <w:t xml:space="preserve"> = .</w:t>
            </w:r>
            <w:r>
              <w:rPr>
                <w:lang w:val="de-DE"/>
              </w:rPr>
              <w:t>7369</w:t>
            </w:r>
          </w:p>
        </w:tc>
      </w:tr>
    </w:tbl>
    <w:p w14:paraId="4F3C5A1F" w14:textId="77777777" w:rsidR="009E3473" w:rsidRDefault="009E3473" w:rsidP="009E3473">
      <w:pPr>
        <w:spacing w:before="120" w:after="120"/>
        <w:jc w:val="both"/>
        <w:rPr>
          <w:lang w:val="en-US"/>
        </w:rPr>
      </w:pPr>
    </w:p>
    <w:p w14:paraId="740A59F7" w14:textId="595A4568" w:rsidR="009E3473" w:rsidRDefault="009E3473">
      <w:pPr>
        <w:rPr>
          <w:lang w:val="en-US"/>
        </w:rPr>
      </w:pPr>
      <w:r>
        <w:rPr>
          <w:lang w:val="en-US"/>
        </w:rPr>
        <w:br w:type="page"/>
      </w:r>
    </w:p>
    <w:p w14:paraId="77258111" w14:textId="77777777" w:rsidR="00C97614" w:rsidRDefault="00C97614" w:rsidP="00470D15">
      <w:pPr>
        <w:spacing w:before="120" w:after="120"/>
        <w:rPr>
          <w:lang w:val="en-US"/>
        </w:rPr>
      </w:pPr>
    </w:p>
    <w:p w14:paraId="441EB8A9" w14:textId="527B6776" w:rsidR="00106B81" w:rsidRDefault="00DB25F8" w:rsidP="00470D15">
      <w:pPr>
        <w:spacing w:before="120" w:after="120"/>
        <w:rPr>
          <w:lang w:val="en-US"/>
        </w:rPr>
      </w:pPr>
      <w:r w:rsidRPr="00DB25F8">
        <w:rPr>
          <w:noProof/>
          <w:lang w:val="en-US"/>
        </w:rPr>
        <w:drawing>
          <wp:inline distT="0" distB="0" distL="0" distR="0" wp14:anchorId="633CFF65" wp14:editId="381944FA">
            <wp:extent cx="5731510" cy="3308350"/>
            <wp:effectExtent l="0" t="0" r="0" b="0"/>
            <wp:docPr id="36900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087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0A06" w14:textId="5465A6C0" w:rsidR="00106B81" w:rsidRPr="00AC2868" w:rsidRDefault="00106B81" w:rsidP="00470D15">
      <w:pPr>
        <w:spacing w:before="120" w:after="120"/>
        <w:jc w:val="both"/>
        <w:rPr>
          <w:color w:val="FF0000"/>
          <w:lang w:val="en-US"/>
        </w:rPr>
      </w:pPr>
      <w:r w:rsidRPr="009E6F92">
        <w:rPr>
          <w:b/>
          <w:bCs/>
          <w:lang w:val="en-US"/>
        </w:rPr>
        <w:t>Figure S1.</w:t>
      </w:r>
      <w:r w:rsidRPr="009E6F92">
        <w:rPr>
          <w:lang w:val="en-US"/>
        </w:rPr>
        <w:t xml:space="preserve"> Comparison of </w:t>
      </w:r>
      <w:r w:rsidR="001D4915" w:rsidRPr="009E6F92">
        <w:rPr>
          <w:lang w:val="en-US"/>
        </w:rPr>
        <w:t>hypertensive disease model rats (SHR/</w:t>
      </w:r>
      <w:proofErr w:type="spellStart"/>
      <w:r w:rsidR="001D4915" w:rsidRPr="009E6F92">
        <w:rPr>
          <w:lang w:val="en-US"/>
        </w:rPr>
        <w:t>Izm</w:t>
      </w:r>
      <w:proofErr w:type="spellEnd"/>
      <w:r w:rsidR="001D4915" w:rsidRPr="009E6F92">
        <w:rPr>
          <w:lang w:val="en-US"/>
        </w:rPr>
        <w:t xml:space="preserve">) </w:t>
      </w:r>
      <w:r w:rsidRPr="009E6F92">
        <w:rPr>
          <w:lang w:val="en-US"/>
        </w:rPr>
        <w:t xml:space="preserve">with </w:t>
      </w:r>
      <w:r w:rsidR="000446EE" w:rsidRPr="009E6F92">
        <w:rPr>
          <w:lang w:val="en-US"/>
        </w:rPr>
        <w:t>normotensive control (</w:t>
      </w:r>
      <w:r w:rsidRPr="009E6F92">
        <w:rPr>
          <w:lang w:val="en-US"/>
        </w:rPr>
        <w:t>WKY/</w:t>
      </w:r>
      <w:proofErr w:type="spellStart"/>
      <w:r w:rsidRPr="009E6F92">
        <w:rPr>
          <w:lang w:val="en-US"/>
        </w:rPr>
        <w:t>Izm</w:t>
      </w:r>
      <w:proofErr w:type="spellEnd"/>
      <w:r w:rsidR="000446EE" w:rsidRPr="009E6F92">
        <w:rPr>
          <w:lang w:val="en-US"/>
        </w:rPr>
        <w:t>)</w:t>
      </w:r>
      <w:r w:rsidRPr="009E6F92">
        <w:rPr>
          <w:lang w:val="en-US"/>
        </w:rPr>
        <w:t xml:space="preserve"> </w:t>
      </w:r>
      <w:r w:rsidR="001D4915" w:rsidRPr="009E6F92">
        <w:rPr>
          <w:lang w:val="en-US"/>
        </w:rPr>
        <w:t xml:space="preserve">(n = </w:t>
      </w:r>
      <w:r w:rsidR="0008766E" w:rsidRPr="009E6F92">
        <w:rPr>
          <w:lang w:val="en-US"/>
        </w:rPr>
        <w:t>6</w:t>
      </w:r>
      <w:r w:rsidR="000446EE" w:rsidRPr="009E6F92">
        <w:rPr>
          <w:lang w:val="en-US"/>
        </w:rPr>
        <w:t xml:space="preserve"> each group</w:t>
      </w:r>
      <w:r w:rsidR="001D4915" w:rsidRPr="009E6F92">
        <w:rPr>
          <w:lang w:val="en-US"/>
        </w:rPr>
        <w:t>)</w:t>
      </w:r>
      <w:r w:rsidRPr="009E6F92">
        <w:rPr>
          <w:lang w:val="en-US"/>
        </w:rPr>
        <w:t xml:space="preserve">. Blood pressure was measured </w:t>
      </w:r>
      <w:r w:rsidR="00CF031B" w:rsidRPr="009E6F92">
        <w:rPr>
          <w:lang w:val="en-US"/>
        </w:rPr>
        <w:t xml:space="preserve">under resting conditions </w:t>
      </w:r>
      <w:r w:rsidRPr="009E6F92">
        <w:rPr>
          <w:lang w:val="en-US"/>
        </w:rPr>
        <w:t xml:space="preserve">using a </w:t>
      </w:r>
      <w:r w:rsidR="00AE58A7">
        <w:rPr>
          <w:lang w:val="en-US"/>
        </w:rPr>
        <w:t>BP-98AL</w:t>
      </w:r>
      <w:r w:rsidRPr="009E6F92">
        <w:rPr>
          <w:lang w:val="en-US"/>
        </w:rPr>
        <w:t xml:space="preserve"> non-invasive automatic blood pressure monitor </w:t>
      </w:r>
      <w:r w:rsidR="00AE58A7">
        <w:rPr>
          <w:lang w:val="en-US"/>
        </w:rPr>
        <w:t>(</w:t>
      </w:r>
      <w:proofErr w:type="spellStart"/>
      <w:r w:rsidR="00AE58A7">
        <w:rPr>
          <w:lang w:val="en-US"/>
        </w:rPr>
        <w:t>Softron</w:t>
      </w:r>
      <w:proofErr w:type="spellEnd"/>
      <w:r w:rsidR="00AE58A7">
        <w:rPr>
          <w:lang w:val="en-US"/>
        </w:rPr>
        <w:t xml:space="preserve"> Col. Ltd. Tokyo, Japan) </w:t>
      </w:r>
      <w:r w:rsidRPr="009E6F92">
        <w:rPr>
          <w:lang w:val="en-US"/>
        </w:rPr>
        <w:t xml:space="preserve">for small animals. As shown, </w:t>
      </w:r>
      <w:r w:rsidR="0008766E" w:rsidRPr="009E6F92">
        <w:rPr>
          <w:lang w:val="en-US"/>
        </w:rPr>
        <w:t xml:space="preserve">both systolic </w:t>
      </w:r>
      <w:r w:rsidR="00B67FEA" w:rsidRPr="009E6F92">
        <w:rPr>
          <w:lang w:val="en-US"/>
        </w:rPr>
        <w:t xml:space="preserve">(SBP) </w:t>
      </w:r>
      <w:r w:rsidR="0008766E" w:rsidRPr="009E6F92">
        <w:rPr>
          <w:lang w:val="en-US"/>
        </w:rPr>
        <w:t>and diastolic</w:t>
      </w:r>
      <w:r w:rsidRPr="009E6F92">
        <w:rPr>
          <w:lang w:val="en-US"/>
        </w:rPr>
        <w:t xml:space="preserve"> blood pressure </w:t>
      </w:r>
      <w:r w:rsidR="00B67FEA" w:rsidRPr="009E6F92">
        <w:rPr>
          <w:lang w:val="en-US"/>
        </w:rPr>
        <w:t xml:space="preserve">(DBP) </w:t>
      </w:r>
      <w:r w:rsidRPr="009E6F92">
        <w:rPr>
          <w:lang w:val="en-US"/>
        </w:rPr>
        <w:t xml:space="preserve">of </w:t>
      </w:r>
      <w:r w:rsidR="001D4915" w:rsidRPr="009E6F92">
        <w:rPr>
          <w:lang w:val="en-US"/>
        </w:rPr>
        <w:t>hypertensive rats (SHR</w:t>
      </w:r>
      <w:r w:rsidRPr="009E6F92">
        <w:rPr>
          <w:lang w:val="en-US"/>
        </w:rPr>
        <w:t>/</w:t>
      </w:r>
      <w:proofErr w:type="spellStart"/>
      <w:r w:rsidRPr="009E6F92">
        <w:rPr>
          <w:lang w:val="en-US"/>
        </w:rPr>
        <w:t>Izm</w:t>
      </w:r>
      <w:proofErr w:type="spellEnd"/>
      <w:r w:rsidR="001D4915" w:rsidRPr="009E6F92">
        <w:rPr>
          <w:lang w:val="en-US"/>
        </w:rPr>
        <w:t xml:space="preserve">, </w:t>
      </w:r>
      <w:r w:rsidR="0008766E" w:rsidRPr="009E6F92">
        <w:rPr>
          <w:lang w:val="en-US"/>
        </w:rPr>
        <w:t>201</w:t>
      </w:r>
      <w:r w:rsidR="001D4915" w:rsidRPr="009E6F92">
        <w:rPr>
          <w:lang w:val="en-US"/>
        </w:rPr>
        <w:t xml:space="preserve"> ± </w:t>
      </w:r>
      <w:r w:rsidR="0008766E" w:rsidRPr="009E6F92">
        <w:rPr>
          <w:lang w:val="en-US"/>
        </w:rPr>
        <w:t>10</w:t>
      </w:r>
      <w:r w:rsidR="001D4915" w:rsidRPr="009E6F92">
        <w:rPr>
          <w:lang w:val="en-US"/>
        </w:rPr>
        <w:t xml:space="preserve"> mmHg</w:t>
      </w:r>
      <w:r w:rsidRPr="009E6F92">
        <w:rPr>
          <w:lang w:val="en-US"/>
        </w:rPr>
        <w:t>)</w:t>
      </w:r>
      <w:r w:rsidR="001D4915" w:rsidRPr="009E6F92">
        <w:rPr>
          <w:lang w:val="en-US"/>
        </w:rPr>
        <w:t xml:space="preserve"> is significantly higher than </w:t>
      </w:r>
      <w:r w:rsidR="008D301C" w:rsidRPr="009E6F92">
        <w:rPr>
          <w:lang w:val="en-US"/>
        </w:rPr>
        <w:t>normotensive</w:t>
      </w:r>
      <w:r w:rsidR="001D4915" w:rsidRPr="009E6F92">
        <w:rPr>
          <w:lang w:val="en-US"/>
        </w:rPr>
        <w:t xml:space="preserve"> control (WKY/</w:t>
      </w:r>
      <w:proofErr w:type="spellStart"/>
      <w:r w:rsidR="001D4915" w:rsidRPr="009E6F92">
        <w:rPr>
          <w:lang w:val="en-US"/>
        </w:rPr>
        <w:t>Izm</w:t>
      </w:r>
      <w:proofErr w:type="spellEnd"/>
      <w:r w:rsidR="001D4915" w:rsidRPr="009E6F92">
        <w:rPr>
          <w:lang w:val="en-US"/>
        </w:rPr>
        <w:t xml:space="preserve">, </w:t>
      </w:r>
      <w:r w:rsidR="0008766E" w:rsidRPr="009E6F92">
        <w:rPr>
          <w:lang w:val="en-US"/>
        </w:rPr>
        <w:t>135</w:t>
      </w:r>
      <w:r w:rsidR="001D4915" w:rsidRPr="009E6F92">
        <w:rPr>
          <w:lang w:val="en-US"/>
        </w:rPr>
        <w:t xml:space="preserve"> ± </w:t>
      </w:r>
      <w:r w:rsidR="0008766E" w:rsidRPr="009E6F92">
        <w:rPr>
          <w:lang w:val="en-US"/>
        </w:rPr>
        <w:t>5</w:t>
      </w:r>
      <w:r w:rsidR="001D4915" w:rsidRPr="009E6F92">
        <w:rPr>
          <w:lang w:val="en-US"/>
        </w:rPr>
        <w:t xml:space="preserve"> mmHg) (***</w:t>
      </w:r>
      <w:r w:rsidR="00167833" w:rsidRPr="009E6F92">
        <w:rPr>
          <w:i/>
          <w:iCs/>
          <w:lang w:val="en-US"/>
        </w:rPr>
        <w:t>P</w:t>
      </w:r>
      <w:r w:rsidR="001D4915" w:rsidRPr="009E6F92">
        <w:rPr>
          <w:lang w:val="en-US"/>
        </w:rPr>
        <w:t xml:space="preserve"> &lt; </w:t>
      </w:r>
      <w:r w:rsidR="0008766E" w:rsidRPr="009E6F92">
        <w:rPr>
          <w:lang w:val="en-US"/>
        </w:rPr>
        <w:t>0.001</w:t>
      </w:r>
      <w:r w:rsidR="00167833" w:rsidRPr="009E6F92">
        <w:rPr>
          <w:lang w:val="en-US"/>
        </w:rPr>
        <w:t>, n = 6</w:t>
      </w:r>
      <w:r w:rsidR="001D4915" w:rsidRPr="009E6F92">
        <w:rPr>
          <w:lang w:val="en-US"/>
        </w:rPr>
        <w:t xml:space="preserve">). </w:t>
      </w:r>
      <w:r w:rsidR="00B67FEA" w:rsidRPr="009E6F92">
        <w:rPr>
          <w:lang w:val="en-US"/>
        </w:rPr>
        <w:t xml:space="preserve">After confirming normality of the data, </w:t>
      </w:r>
      <w:r w:rsidR="007C4F76">
        <w:rPr>
          <w:lang w:val="en-US"/>
        </w:rPr>
        <w:t>two</w:t>
      </w:r>
      <w:r w:rsidR="00B67FEA" w:rsidRPr="009E6F92">
        <w:rPr>
          <w:lang w:val="en-US"/>
        </w:rPr>
        <w:t>-way ANOVA followed by Bonferroni’s multiple test correction has been performed to compare differences between WKY/</w:t>
      </w:r>
      <w:proofErr w:type="spellStart"/>
      <w:r w:rsidR="00B67FEA" w:rsidRPr="009E6F92">
        <w:rPr>
          <w:lang w:val="en-US"/>
        </w:rPr>
        <w:t>Izm</w:t>
      </w:r>
      <w:proofErr w:type="spellEnd"/>
      <w:r w:rsidR="00B67FEA" w:rsidRPr="009E6F92">
        <w:rPr>
          <w:lang w:val="en-US"/>
        </w:rPr>
        <w:t xml:space="preserve"> and SHR/</w:t>
      </w:r>
      <w:proofErr w:type="spellStart"/>
      <w:r w:rsidR="00B67FEA" w:rsidRPr="009E6F92">
        <w:rPr>
          <w:lang w:val="en-US"/>
        </w:rPr>
        <w:t>Izm</w:t>
      </w:r>
      <w:proofErr w:type="spellEnd"/>
      <w:r w:rsidR="00B67FEA" w:rsidRPr="009E6F92">
        <w:rPr>
          <w:lang w:val="en-US"/>
        </w:rPr>
        <w:t xml:space="preserve"> rats. </w:t>
      </w:r>
      <w:r w:rsidR="00BE199A" w:rsidRPr="00BE199A">
        <w:rPr>
          <w:lang w:val="en-US"/>
        </w:rPr>
        <w:t xml:space="preserve">While we recognize that tail-cuff systems such as the BP-98AL may have limited accuracy for measuring absolute </w:t>
      </w:r>
      <w:r w:rsidR="00757EF5">
        <w:rPr>
          <w:lang w:val="en-US"/>
        </w:rPr>
        <w:t>DBP</w:t>
      </w:r>
      <w:r w:rsidR="00BE199A" w:rsidRPr="00BE199A">
        <w:rPr>
          <w:lang w:val="en-US"/>
        </w:rPr>
        <w:t xml:space="preserve"> values, the observed difference in blood pressure between SHR/</w:t>
      </w:r>
      <w:proofErr w:type="spellStart"/>
      <w:r w:rsidR="00BE199A" w:rsidRPr="00BE199A">
        <w:rPr>
          <w:lang w:val="en-US"/>
        </w:rPr>
        <w:t>Izm</w:t>
      </w:r>
      <w:proofErr w:type="spellEnd"/>
      <w:r w:rsidR="00BE199A" w:rsidRPr="00BE199A">
        <w:rPr>
          <w:lang w:val="en-US"/>
        </w:rPr>
        <w:t xml:space="preserve"> and WKY/</w:t>
      </w:r>
      <w:proofErr w:type="spellStart"/>
      <w:r w:rsidR="00BE199A" w:rsidRPr="00BE199A">
        <w:rPr>
          <w:lang w:val="en-US"/>
        </w:rPr>
        <w:t>Izm</w:t>
      </w:r>
      <w:proofErr w:type="spellEnd"/>
      <w:r w:rsidR="00BE199A" w:rsidRPr="00BE199A">
        <w:rPr>
          <w:lang w:val="en-US"/>
        </w:rPr>
        <w:t xml:space="preserve"> rats, together with the upregulation of AT1R expression and previous reports (references 17 and 18), strongly supports the hypertensive phenotype in our study.</w:t>
      </w:r>
    </w:p>
    <w:p w14:paraId="6E43B144" w14:textId="77777777" w:rsidR="00106B81" w:rsidRDefault="00106B81" w:rsidP="00470D15">
      <w:pPr>
        <w:spacing w:before="120" w:after="120"/>
        <w:rPr>
          <w:lang w:val="en-US"/>
        </w:rPr>
      </w:pPr>
    </w:p>
    <w:p w14:paraId="7B3F30B0" w14:textId="423BB9E3" w:rsidR="00106B81" w:rsidRDefault="00106B81" w:rsidP="00470D15">
      <w:pPr>
        <w:spacing w:before="120" w:after="120"/>
        <w:rPr>
          <w:lang w:val="en-US"/>
        </w:rPr>
      </w:pPr>
      <w:r>
        <w:rPr>
          <w:lang w:val="en-US"/>
        </w:rPr>
        <w:br w:type="page"/>
      </w:r>
    </w:p>
    <w:p w14:paraId="08570D2A" w14:textId="77777777" w:rsidR="00106B81" w:rsidRDefault="00106B81" w:rsidP="00470D15">
      <w:pPr>
        <w:spacing w:before="120" w:after="120"/>
        <w:rPr>
          <w:lang w:val="en-US"/>
        </w:rPr>
      </w:pPr>
    </w:p>
    <w:p w14:paraId="0B18B8DE" w14:textId="331E3FF0" w:rsidR="00DF7056" w:rsidRDefault="00510780" w:rsidP="00470D15">
      <w:pPr>
        <w:spacing w:before="120" w:after="120"/>
        <w:rPr>
          <w:lang w:val="en-US"/>
        </w:rPr>
      </w:pPr>
      <w:r w:rsidRPr="00510780">
        <w:rPr>
          <w:noProof/>
        </w:rPr>
        <w:drawing>
          <wp:inline distT="0" distB="0" distL="0" distR="0" wp14:anchorId="2A87A09F" wp14:editId="694427E5">
            <wp:extent cx="5731510" cy="3027045"/>
            <wp:effectExtent l="0" t="0" r="0" b="0"/>
            <wp:docPr id="1960630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309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304F" w14:textId="04CFD922" w:rsidR="00DF7056" w:rsidRDefault="00DF7056" w:rsidP="00470D15">
      <w:pPr>
        <w:spacing w:before="120" w:after="120"/>
        <w:jc w:val="both"/>
        <w:rPr>
          <w:lang w:val="en-US"/>
        </w:rPr>
      </w:pPr>
      <w:r w:rsidRPr="00DF7056">
        <w:rPr>
          <w:b/>
          <w:bCs/>
          <w:lang w:val="en-US"/>
        </w:rPr>
        <w:t>Figure S</w:t>
      </w:r>
      <w:r w:rsidR="00F43A87">
        <w:rPr>
          <w:b/>
          <w:bCs/>
          <w:lang w:val="en-US"/>
        </w:rPr>
        <w:t>2</w:t>
      </w:r>
      <w:r w:rsidRPr="00DF7056">
        <w:rPr>
          <w:b/>
          <w:bCs/>
          <w:lang w:val="en-US"/>
        </w:rPr>
        <w:t>.</w:t>
      </w:r>
      <w:r>
        <w:rPr>
          <w:lang w:val="en-US"/>
        </w:rPr>
        <w:t xml:space="preserve"> Flowcharts for PET imaging. </w:t>
      </w:r>
      <w:r w:rsidR="00510780">
        <w:rPr>
          <w:lang w:val="en-US"/>
        </w:rPr>
        <w:t xml:space="preserve">For PET imaging in both </w:t>
      </w:r>
      <w:r w:rsidR="008D301C">
        <w:rPr>
          <w:lang w:val="en-US"/>
        </w:rPr>
        <w:t>normotensive</w:t>
      </w:r>
      <w:r w:rsidR="00510780">
        <w:rPr>
          <w:lang w:val="en-US"/>
        </w:rPr>
        <w:t xml:space="preserve"> rats and </w:t>
      </w:r>
      <w:r w:rsidR="00510780" w:rsidRPr="00B37923">
        <w:rPr>
          <w:lang w:val="en-US"/>
        </w:rPr>
        <w:t>hypertensive rat model</w:t>
      </w:r>
      <w:r w:rsidR="00510780">
        <w:rPr>
          <w:lang w:val="en-US"/>
        </w:rPr>
        <w:t xml:space="preserve">s, </w:t>
      </w:r>
      <w:r w:rsidR="00B37923" w:rsidRPr="00B37923">
        <w:rPr>
          <w:lang w:val="en-US"/>
        </w:rPr>
        <w:t xml:space="preserve">the NTZ+RIF blocking protocol </w:t>
      </w:r>
      <w:r w:rsidR="00510780">
        <w:rPr>
          <w:lang w:val="en-US"/>
        </w:rPr>
        <w:t xml:space="preserve">was applied to all the animals to inhibit the unspecific </w:t>
      </w:r>
      <w:r w:rsidR="00E12117">
        <w:rPr>
          <w:lang w:val="en-US"/>
        </w:rPr>
        <w:t xml:space="preserve">uptake </w:t>
      </w:r>
      <w:r w:rsidR="00510780">
        <w:rPr>
          <w:lang w:val="en-US"/>
        </w:rPr>
        <w:t>of [</w:t>
      </w:r>
      <w:r w:rsidR="00510780" w:rsidRPr="00510780">
        <w:rPr>
          <w:vertAlign w:val="superscript"/>
          <w:lang w:val="en-US"/>
        </w:rPr>
        <w:t>18</w:t>
      </w:r>
      <w:r w:rsidR="00510780">
        <w:rPr>
          <w:lang w:val="en-US"/>
        </w:rPr>
        <w:t>F]DR29</w:t>
      </w:r>
      <w:r w:rsidR="00B37923" w:rsidRPr="00B37923">
        <w:rPr>
          <w:lang w:val="en-US"/>
        </w:rPr>
        <w:t>.</w:t>
      </w:r>
      <w:r w:rsidR="00B37923">
        <w:rPr>
          <w:lang w:val="en-US"/>
        </w:rPr>
        <w:t xml:space="preserve"> </w:t>
      </w:r>
      <w:r>
        <w:rPr>
          <w:lang w:val="en-US"/>
        </w:rPr>
        <w:t>PET, positron emission tomography; NTZ, nitazoxanide (organic anion transporter inhibitor); RIF, rifampicin (organic anion transporting polypeptides inhibitor; CAN, candesartan (angiotensin II type 1 receptor inhibitor).</w:t>
      </w:r>
    </w:p>
    <w:p w14:paraId="1380D5A8" w14:textId="77777777" w:rsidR="00B37923" w:rsidRDefault="00B37923" w:rsidP="00470D15">
      <w:pPr>
        <w:spacing w:before="120" w:after="120"/>
        <w:rPr>
          <w:lang w:val="en-US"/>
        </w:rPr>
      </w:pPr>
    </w:p>
    <w:p w14:paraId="7198F23B" w14:textId="1391A7F0" w:rsidR="00B37923" w:rsidRDefault="00B37923" w:rsidP="00470D15">
      <w:pPr>
        <w:spacing w:before="120" w:after="120"/>
        <w:rPr>
          <w:lang w:val="en-US"/>
        </w:rPr>
      </w:pPr>
      <w:r>
        <w:rPr>
          <w:lang w:val="en-US"/>
        </w:rPr>
        <w:br w:type="page"/>
      </w:r>
    </w:p>
    <w:p w14:paraId="55E4683F" w14:textId="77777777" w:rsidR="00B37923" w:rsidRDefault="00B37923" w:rsidP="00470D15">
      <w:pPr>
        <w:spacing w:before="120" w:after="120"/>
        <w:rPr>
          <w:lang w:val="en-US"/>
        </w:rPr>
      </w:pPr>
    </w:p>
    <w:p w14:paraId="6966E63C" w14:textId="2E212807" w:rsidR="00B37923" w:rsidRDefault="00E5407F" w:rsidP="00470D15">
      <w:pPr>
        <w:spacing w:before="120" w:after="120"/>
        <w:rPr>
          <w:lang w:val="en-US"/>
        </w:rPr>
      </w:pPr>
      <w:r w:rsidRPr="00E5407F">
        <w:rPr>
          <w:noProof/>
        </w:rPr>
        <w:drawing>
          <wp:inline distT="0" distB="0" distL="0" distR="0" wp14:anchorId="4909544F" wp14:editId="58E864A3">
            <wp:extent cx="5731510" cy="5183505"/>
            <wp:effectExtent l="0" t="0" r="0" b="0"/>
            <wp:docPr id="420236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361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F685" w14:textId="313BF1A4" w:rsidR="00B37923" w:rsidRDefault="00B37923" w:rsidP="00470D15">
      <w:pPr>
        <w:spacing w:before="120" w:after="120"/>
        <w:jc w:val="both"/>
        <w:rPr>
          <w:lang w:val="en-US"/>
        </w:rPr>
      </w:pPr>
      <w:r w:rsidRPr="00DF7056">
        <w:rPr>
          <w:b/>
          <w:bCs/>
          <w:lang w:val="en-US"/>
        </w:rPr>
        <w:t>Figure S</w:t>
      </w:r>
      <w:r w:rsidR="00F43A87">
        <w:rPr>
          <w:b/>
          <w:bCs/>
          <w:lang w:val="en-US"/>
        </w:rPr>
        <w:t>3</w:t>
      </w:r>
      <w:r w:rsidRPr="00DF7056">
        <w:rPr>
          <w:b/>
          <w:bCs/>
          <w:lang w:val="en-US"/>
        </w:rPr>
        <w:t>.</w:t>
      </w:r>
      <w:r>
        <w:rPr>
          <w:lang w:val="en-US"/>
        </w:rPr>
        <w:t xml:space="preserve"> Flowcharts for biodistribution studies. </w:t>
      </w:r>
      <w:r w:rsidRPr="00B37923">
        <w:rPr>
          <w:lang w:val="en-US"/>
        </w:rPr>
        <w:t xml:space="preserve">All four protocols were evaluated in healthy rats, while the NTZ+RIF blocking protocol was used for all </w:t>
      </w:r>
      <w:r>
        <w:rPr>
          <w:lang w:val="en-US"/>
        </w:rPr>
        <w:t xml:space="preserve">animals in </w:t>
      </w:r>
      <w:r w:rsidRPr="00B37923">
        <w:rPr>
          <w:lang w:val="en-US"/>
        </w:rPr>
        <w:t>hypertensive rat model.</w:t>
      </w:r>
      <w:r>
        <w:rPr>
          <w:lang w:val="en-US"/>
        </w:rPr>
        <w:t xml:space="preserve"> PET, positron emission tomography; NTZ, nitazoxanide (organic anion transporter inhibitor); RIF, rifampicin (organic anion transporting polypeptides inhibitor; CAN, candesartan (angiotensin II type 1 receptor inhibitor).</w:t>
      </w:r>
    </w:p>
    <w:p w14:paraId="4BBE1F7E" w14:textId="77777777" w:rsidR="00B37923" w:rsidRDefault="00B37923" w:rsidP="00470D15">
      <w:pPr>
        <w:spacing w:before="120" w:after="120"/>
        <w:rPr>
          <w:lang w:val="en-US"/>
        </w:rPr>
      </w:pPr>
    </w:p>
    <w:p w14:paraId="0DEEB51E" w14:textId="65FCBEB8" w:rsidR="009B2388" w:rsidRDefault="00DF7056" w:rsidP="00470D15">
      <w:pPr>
        <w:spacing w:before="120" w:after="120"/>
        <w:rPr>
          <w:lang w:val="en-US"/>
        </w:rPr>
      </w:pPr>
      <w:r>
        <w:rPr>
          <w:lang w:val="en-US"/>
        </w:rPr>
        <w:br w:type="page"/>
      </w:r>
    </w:p>
    <w:p w14:paraId="294E304B" w14:textId="77777777" w:rsidR="00DF7056" w:rsidRDefault="00DF7056" w:rsidP="00470D15">
      <w:pPr>
        <w:spacing w:before="120" w:after="120"/>
        <w:rPr>
          <w:lang w:val="en-US"/>
        </w:rPr>
      </w:pPr>
    </w:p>
    <w:p w14:paraId="1A782852" w14:textId="7DDF1F00" w:rsidR="00036481" w:rsidRDefault="00F0112E" w:rsidP="00470D15">
      <w:pPr>
        <w:spacing w:before="120" w:after="120"/>
        <w:jc w:val="both"/>
        <w:rPr>
          <w:lang w:val="en-US"/>
        </w:rPr>
      </w:pPr>
      <w:r w:rsidRPr="00F0112E">
        <w:rPr>
          <w:noProof/>
        </w:rPr>
        <w:drawing>
          <wp:inline distT="0" distB="0" distL="0" distR="0" wp14:anchorId="73B537A9" wp14:editId="3FDF239E">
            <wp:extent cx="5731510" cy="2145030"/>
            <wp:effectExtent l="0" t="0" r="0" b="1270"/>
            <wp:docPr id="366425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252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1900" w14:textId="39D5DB1A" w:rsidR="0069348F" w:rsidRDefault="0069348F" w:rsidP="00470D15">
      <w:pPr>
        <w:spacing w:before="120" w:after="120"/>
        <w:jc w:val="both"/>
        <w:rPr>
          <w:lang w:val="en-US"/>
        </w:rPr>
      </w:pPr>
      <w:r w:rsidRPr="0069348F">
        <w:rPr>
          <w:b/>
          <w:bCs/>
          <w:lang w:val="en-US"/>
        </w:rPr>
        <w:t>Figure S</w:t>
      </w:r>
      <w:r w:rsidR="00F43A87">
        <w:rPr>
          <w:b/>
          <w:bCs/>
          <w:lang w:val="en-US"/>
        </w:rPr>
        <w:t>4</w:t>
      </w:r>
      <w:r w:rsidRPr="0069348F">
        <w:rPr>
          <w:b/>
          <w:bCs/>
          <w:lang w:val="en-US"/>
        </w:rPr>
        <w:t>.</w:t>
      </w:r>
      <w:r>
        <w:rPr>
          <w:lang w:val="en-US"/>
        </w:rPr>
        <w:t xml:space="preserve"> HPLC graph </w:t>
      </w:r>
      <w:r w:rsidR="000044B9">
        <w:rPr>
          <w:lang w:val="en-US"/>
        </w:rPr>
        <w:t>developed for purification after radiolabeling with</w:t>
      </w:r>
      <w:r>
        <w:rPr>
          <w:lang w:val="en-US"/>
        </w:rPr>
        <w:t xml:space="preserve"> overlapping cold standard of DR29 (</w:t>
      </w:r>
      <w:r w:rsidR="00036481">
        <w:rPr>
          <w:color w:val="FF0000"/>
          <w:lang w:val="en-US"/>
        </w:rPr>
        <w:t>black</w:t>
      </w:r>
      <w:r>
        <w:rPr>
          <w:lang w:val="en-US"/>
        </w:rPr>
        <w:t>) and chloride by-product (</w:t>
      </w:r>
      <w:r w:rsidR="00036481">
        <w:rPr>
          <w:color w:val="FF0000"/>
          <w:lang w:val="en-US"/>
        </w:rPr>
        <w:t>blue</w:t>
      </w:r>
      <w:r>
        <w:rPr>
          <w:lang w:val="en-US"/>
        </w:rPr>
        <w:t xml:space="preserve">). </w:t>
      </w:r>
    </w:p>
    <w:p w14:paraId="7048EFE3" w14:textId="77777777" w:rsidR="0069348F" w:rsidRDefault="0069348F" w:rsidP="00470D15">
      <w:pPr>
        <w:spacing w:before="120" w:after="120"/>
        <w:rPr>
          <w:lang w:val="en-US"/>
        </w:rPr>
      </w:pPr>
      <w:r>
        <w:rPr>
          <w:lang w:val="en-US"/>
        </w:rPr>
        <w:br w:type="page"/>
      </w:r>
    </w:p>
    <w:p w14:paraId="3927BDF8" w14:textId="77777777" w:rsidR="0069348F" w:rsidRDefault="0069348F" w:rsidP="00470D15">
      <w:pPr>
        <w:spacing w:before="120" w:after="120"/>
        <w:jc w:val="both"/>
        <w:rPr>
          <w:lang w:val="en-US"/>
        </w:rPr>
      </w:pPr>
    </w:p>
    <w:p w14:paraId="3E5E3017" w14:textId="46B02BC6" w:rsidR="00067139" w:rsidRDefault="003A2C31" w:rsidP="00470D15">
      <w:pPr>
        <w:spacing w:before="120" w:after="120"/>
        <w:jc w:val="both"/>
        <w:rPr>
          <w:lang w:val="en-US"/>
        </w:rPr>
      </w:pPr>
      <w:r w:rsidRPr="003A2C31">
        <w:rPr>
          <w:noProof/>
        </w:rPr>
        <w:drawing>
          <wp:inline distT="0" distB="0" distL="0" distR="0" wp14:anchorId="6F8C23DE" wp14:editId="45458EE0">
            <wp:extent cx="5731510" cy="4195445"/>
            <wp:effectExtent l="0" t="0" r="0" b="0"/>
            <wp:docPr id="1152672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721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09BB" w14:textId="1B2AEEB2" w:rsidR="00067139" w:rsidRDefault="00067139" w:rsidP="00470D15">
      <w:pPr>
        <w:spacing w:before="120" w:after="120"/>
        <w:jc w:val="both"/>
        <w:rPr>
          <w:lang w:val="en-US"/>
        </w:rPr>
      </w:pPr>
      <w:r w:rsidRPr="00067139">
        <w:rPr>
          <w:b/>
          <w:bCs/>
          <w:lang w:val="en-US"/>
        </w:rPr>
        <w:t>Figure S</w:t>
      </w:r>
      <w:r w:rsidR="00F43A87">
        <w:rPr>
          <w:b/>
          <w:bCs/>
          <w:lang w:val="en-US"/>
        </w:rPr>
        <w:t>5</w:t>
      </w:r>
      <w:r w:rsidRPr="00067139">
        <w:rPr>
          <w:b/>
          <w:bCs/>
          <w:lang w:val="en-US"/>
        </w:rPr>
        <w:t>.</w:t>
      </w:r>
      <w:r>
        <w:rPr>
          <w:lang w:val="en-US"/>
        </w:rPr>
        <w:t xml:space="preserve"> Control experiments </w:t>
      </w:r>
      <w:r w:rsidR="003A2C31">
        <w:rPr>
          <w:lang w:val="en-US"/>
        </w:rPr>
        <w:t>of immunohistochemical staining for both WKY/</w:t>
      </w:r>
      <w:proofErr w:type="spellStart"/>
      <w:r w:rsidR="003A2C31">
        <w:rPr>
          <w:lang w:val="en-US"/>
        </w:rPr>
        <w:t>Izm</w:t>
      </w:r>
      <w:proofErr w:type="spellEnd"/>
      <w:r w:rsidR="003A2C31">
        <w:rPr>
          <w:lang w:val="en-US"/>
        </w:rPr>
        <w:t xml:space="preserve"> (a, AT1R antibody (-); b, AT1R antibody (+)) and SHR/</w:t>
      </w:r>
      <w:proofErr w:type="spellStart"/>
      <w:r w:rsidR="003A2C31">
        <w:rPr>
          <w:lang w:val="en-US"/>
        </w:rPr>
        <w:t>Izm</w:t>
      </w:r>
      <w:proofErr w:type="spellEnd"/>
      <w:r w:rsidR="003A2C31">
        <w:rPr>
          <w:lang w:val="en-US"/>
        </w:rPr>
        <w:t xml:space="preserve"> (c, AT1R antibody (-); d, AT1R antibody (+)) kidney sections </w:t>
      </w:r>
      <w:r>
        <w:rPr>
          <w:lang w:val="en-US"/>
        </w:rPr>
        <w:t>with and without primary antibody (AT1R antibody) under identical acquisition settings</w:t>
      </w:r>
      <w:r w:rsidR="003A2C31">
        <w:rPr>
          <w:lang w:val="en-US"/>
        </w:rPr>
        <w:t xml:space="preserve"> </w:t>
      </w:r>
      <w:r w:rsidR="003A2C31" w:rsidRPr="003A2C31">
        <w:rPr>
          <w:lang w:val="en-US"/>
        </w:rPr>
        <w:t xml:space="preserve">(magnification x40; bar = 500 </w:t>
      </w:r>
      <w:r w:rsidR="003A2C31" w:rsidRPr="003A2C31">
        <w:rPr>
          <w:lang w:val="el-GR"/>
        </w:rPr>
        <w:t>μ</w:t>
      </w:r>
      <w:r w:rsidR="003A2C31" w:rsidRPr="003A2C31">
        <w:rPr>
          <w:lang w:val="en-US"/>
        </w:rPr>
        <w:t>m)</w:t>
      </w:r>
      <w:r>
        <w:rPr>
          <w:lang w:val="en-US"/>
        </w:rPr>
        <w:t>.</w:t>
      </w:r>
      <w:r w:rsidR="003A2C31">
        <w:rPr>
          <w:lang w:val="en-US"/>
        </w:rPr>
        <w:t xml:space="preserve"> CTX, cortex; MDL, medulla.</w:t>
      </w:r>
    </w:p>
    <w:p w14:paraId="24F6A088" w14:textId="182B6679" w:rsidR="008B5DAB" w:rsidRDefault="00067139" w:rsidP="00470D15">
      <w:pPr>
        <w:spacing w:before="120" w:after="120"/>
        <w:rPr>
          <w:lang w:val="en-US"/>
        </w:rPr>
      </w:pPr>
      <w:r>
        <w:rPr>
          <w:lang w:val="en-US"/>
        </w:rPr>
        <w:br w:type="page"/>
      </w:r>
    </w:p>
    <w:p w14:paraId="5CE825FE" w14:textId="77777777" w:rsidR="008B5DAB" w:rsidRDefault="008B5DAB" w:rsidP="00470D15">
      <w:pPr>
        <w:spacing w:before="120" w:after="120"/>
        <w:jc w:val="both"/>
        <w:rPr>
          <w:lang w:val="en-US"/>
        </w:rPr>
      </w:pPr>
    </w:p>
    <w:p w14:paraId="44AF9927" w14:textId="77777777" w:rsidR="00AC6378" w:rsidRDefault="002C5F50" w:rsidP="00470D15">
      <w:pPr>
        <w:spacing w:before="120" w:after="120"/>
        <w:jc w:val="both"/>
        <w:rPr>
          <w:lang w:val="en-US"/>
        </w:rPr>
      </w:pPr>
      <w:r w:rsidRPr="007C5651">
        <w:rPr>
          <w:noProof/>
          <w:lang w:val="en-US"/>
        </w:rPr>
        <w:drawing>
          <wp:inline distT="0" distB="0" distL="0" distR="0" wp14:anchorId="540F270B" wp14:editId="6459A630">
            <wp:extent cx="5731510" cy="19436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485"/>
                    <a:stretch/>
                  </pic:blipFill>
                  <pic:spPr bwMode="auto">
                    <a:xfrm>
                      <a:off x="0" y="0"/>
                      <a:ext cx="5731510" cy="194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340A4" w14:textId="2DA9D148" w:rsidR="008C7F6C" w:rsidRDefault="008C7F6C" w:rsidP="00470D15">
      <w:pPr>
        <w:spacing w:before="120" w:after="120"/>
        <w:jc w:val="both"/>
        <w:rPr>
          <w:lang w:val="en-US"/>
        </w:rPr>
      </w:pPr>
      <w:r w:rsidRPr="00660E25">
        <w:rPr>
          <w:b/>
          <w:bCs/>
          <w:lang w:val="en-US"/>
        </w:rPr>
        <w:t>Figure</w:t>
      </w:r>
      <w:r>
        <w:rPr>
          <w:b/>
          <w:bCs/>
          <w:lang w:val="en-US"/>
        </w:rPr>
        <w:t xml:space="preserve"> S</w:t>
      </w:r>
      <w:r w:rsidR="00F43A87">
        <w:rPr>
          <w:b/>
          <w:bCs/>
          <w:lang w:val="en-US"/>
        </w:rPr>
        <w:t>6</w:t>
      </w:r>
      <w:r w:rsidRPr="00660E25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="00281BE3">
        <w:rPr>
          <w:lang w:val="en-US"/>
        </w:rPr>
        <w:t>Quality control (blue)</w:t>
      </w:r>
      <w:r w:rsidR="000B35A9">
        <w:rPr>
          <w:lang w:val="en-US"/>
        </w:rPr>
        <w:t xml:space="preserve"> and i</w:t>
      </w:r>
      <w:r>
        <w:rPr>
          <w:lang w:val="en-US"/>
        </w:rPr>
        <w:t xml:space="preserve">n vitro stability of </w:t>
      </w:r>
      <w:r w:rsidR="008D7FC0">
        <w:rPr>
          <w:lang w:val="en-US"/>
        </w:rPr>
        <w:t>[</w:t>
      </w:r>
      <w:r w:rsidRPr="00B646F1">
        <w:rPr>
          <w:vertAlign w:val="superscript"/>
          <w:lang w:val="en-US"/>
        </w:rPr>
        <w:t>18</w:t>
      </w:r>
      <w:r>
        <w:rPr>
          <w:lang w:val="en-US"/>
        </w:rPr>
        <w:t>F</w:t>
      </w:r>
      <w:r w:rsidR="008D7FC0">
        <w:rPr>
          <w:lang w:val="en-US"/>
        </w:rPr>
        <w:t>]</w:t>
      </w:r>
      <w:r w:rsidR="008D7FC0">
        <w:rPr>
          <w:rFonts w:hint="eastAsia"/>
          <w:lang w:val="en-US"/>
        </w:rPr>
        <w:t>D</w:t>
      </w:r>
      <w:r w:rsidR="008D7FC0" w:rsidRPr="008D7FC0">
        <w:rPr>
          <w:lang w:val="en-US"/>
        </w:rPr>
        <w:t>R2</w:t>
      </w:r>
      <w:r w:rsidR="008D7FC0">
        <w:rPr>
          <w:lang w:val="en-US"/>
        </w:rPr>
        <w:t>9</w:t>
      </w:r>
      <w:r>
        <w:rPr>
          <w:lang w:val="en-US"/>
        </w:rPr>
        <w:t xml:space="preserve"> in </w:t>
      </w:r>
      <w:r w:rsidR="000B35A9">
        <w:rPr>
          <w:lang w:val="en-US"/>
        </w:rPr>
        <w:t xml:space="preserve">final </w:t>
      </w:r>
      <w:r>
        <w:rPr>
          <w:lang w:val="en-US"/>
        </w:rPr>
        <w:t xml:space="preserve">injection formulation </w:t>
      </w:r>
      <w:r w:rsidR="000B35A9">
        <w:rPr>
          <w:lang w:val="en-US"/>
        </w:rPr>
        <w:t xml:space="preserve">(saline) </w:t>
      </w:r>
      <w:r>
        <w:rPr>
          <w:lang w:val="en-US"/>
        </w:rPr>
        <w:t>at 0</w:t>
      </w:r>
      <w:r w:rsidR="002C5F50">
        <w:rPr>
          <w:lang w:val="en-US"/>
        </w:rPr>
        <w:t xml:space="preserve"> (blue)</w:t>
      </w:r>
      <w:r>
        <w:rPr>
          <w:lang w:val="en-US"/>
        </w:rPr>
        <w:t>, 30</w:t>
      </w:r>
      <w:r w:rsidR="002C5F50">
        <w:rPr>
          <w:lang w:val="en-US"/>
        </w:rPr>
        <w:t xml:space="preserve"> (black)</w:t>
      </w:r>
      <w:r>
        <w:rPr>
          <w:lang w:val="en-US"/>
        </w:rPr>
        <w:t>, 60</w:t>
      </w:r>
      <w:r w:rsidR="002C5F50">
        <w:rPr>
          <w:lang w:val="en-US"/>
        </w:rPr>
        <w:t xml:space="preserve"> (magenta)</w:t>
      </w:r>
      <w:r>
        <w:rPr>
          <w:lang w:val="en-US"/>
        </w:rPr>
        <w:t xml:space="preserve">, and 120 </w:t>
      </w:r>
      <w:r w:rsidR="002C5F50">
        <w:rPr>
          <w:lang w:val="en-US"/>
        </w:rPr>
        <w:t xml:space="preserve">(green) </w:t>
      </w:r>
      <w:r>
        <w:rPr>
          <w:lang w:val="en-US"/>
        </w:rPr>
        <w:t>min after preparation.</w:t>
      </w:r>
    </w:p>
    <w:p w14:paraId="6F239463" w14:textId="77777777" w:rsidR="008C7F6C" w:rsidRDefault="008C7F6C" w:rsidP="00470D15">
      <w:pPr>
        <w:spacing w:before="120" w:after="120"/>
        <w:jc w:val="both"/>
        <w:rPr>
          <w:lang w:val="en-US"/>
        </w:rPr>
      </w:pPr>
    </w:p>
    <w:p w14:paraId="43009EBD" w14:textId="77777777" w:rsidR="008C7F6C" w:rsidRDefault="008C7F6C" w:rsidP="00470D15">
      <w:pPr>
        <w:spacing w:before="120" w:after="120"/>
        <w:jc w:val="both"/>
        <w:rPr>
          <w:lang w:val="en-US"/>
        </w:rPr>
      </w:pPr>
    </w:p>
    <w:p w14:paraId="09D68D68" w14:textId="77777777" w:rsidR="008C7F6C" w:rsidRDefault="008C7F6C" w:rsidP="00470D15">
      <w:pPr>
        <w:spacing w:before="120" w:after="120"/>
        <w:jc w:val="both"/>
        <w:rPr>
          <w:lang w:val="en-US"/>
        </w:rPr>
      </w:pPr>
      <w:r>
        <w:rPr>
          <w:lang w:val="en-US"/>
        </w:rPr>
        <w:br w:type="page"/>
      </w:r>
    </w:p>
    <w:p w14:paraId="06FB92F8" w14:textId="77777777" w:rsidR="008C7F6C" w:rsidRDefault="008C7F6C" w:rsidP="00470D15">
      <w:pPr>
        <w:spacing w:before="120" w:after="120"/>
        <w:jc w:val="both"/>
        <w:rPr>
          <w:lang w:val="en-US"/>
        </w:rPr>
      </w:pPr>
    </w:p>
    <w:p w14:paraId="7C41F2CE" w14:textId="77777777" w:rsidR="008C7F6C" w:rsidRDefault="00AC6378" w:rsidP="00470D15">
      <w:pPr>
        <w:spacing w:before="120" w:after="120"/>
        <w:jc w:val="both"/>
      </w:pPr>
      <w:r w:rsidRPr="00AC6378">
        <w:rPr>
          <w:noProof/>
        </w:rPr>
        <w:drawing>
          <wp:inline distT="0" distB="0" distL="0" distR="0" wp14:anchorId="5E496D6E" wp14:editId="41F807AD">
            <wp:extent cx="5731510" cy="2218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CA51" w14:textId="3E4590F1" w:rsidR="008C7F6C" w:rsidRDefault="008C7F6C" w:rsidP="00470D15">
      <w:pPr>
        <w:spacing w:before="120" w:after="120"/>
        <w:jc w:val="both"/>
        <w:rPr>
          <w:lang w:val="en-US"/>
        </w:rPr>
      </w:pPr>
      <w:r w:rsidRPr="008A1D47">
        <w:rPr>
          <w:b/>
          <w:bCs/>
          <w:lang w:val="en-US"/>
        </w:rPr>
        <w:t>Figure</w:t>
      </w:r>
      <w:r>
        <w:rPr>
          <w:b/>
          <w:bCs/>
          <w:lang w:val="en-US"/>
        </w:rPr>
        <w:t xml:space="preserve"> S</w:t>
      </w:r>
      <w:r w:rsidR="00F43A87">
        <w:rPr>
          <w:b/>
          <w:bCs/>
          <w:lang w:val="en-US"/>
        </w:rPr>
        <w:t>7</w:t>
      </w:r>
      <w:r w:rsidRPr="008A1D47">
        <w:rPr>
          <w:b/>
          <w:bCs/>
          <w:lang w:val="en-US"/>
        </w:rPr>
        <w:t>.</w:t>
      </w:r>
      <w:r w:rsidRPr="00C93A3C">
        <w:rPr>
          <w:lang w:val="en-US"/>
        </w:rPr>
        <w:t xml:space="preserve"> </w:t>
      </w:r>
      <w:r>
        <w:rPr>
          <w:lang w:val="en-US"/>
        </w:rPr>
        <w:t xml:space="preserve">Representative HPLC analysis of </w:t>
      </w:r>
      <w:r w:rsidR="008D7FC0">
        <w:rPr>
          <w:lang w:val="en-US"/>
        </w:rPr>
        <w:t>[</w:t>
      </w:r>
      <w:r w:rsidRPr="00D637D5">
        <w:rPr>
          <w:vertAlign w:val="superscript"/>
          <w:lang w:val="en-US"/>
        </w:rPr>
        <w:t>18</w:t>
      </w:r>
      <w:r w:rsidRPr="00D637D5">
        <w:rPr>
          <w:lang w:val="en-US"/>
        </w:rPr>
        <w:t>F</w:t>
      </w:r>
      <w:r w:rsidR="008D7FC0">
        <w:rPr>
          <w:lang w:val="en-US"/>
        </w:rPr>
        <w:t>]DR29</w:t>
      </w:r>
      <w:r>
        <w:rPr>
          <w:lang w:val="en-US"/>
        </w:rPr>
        <w:t xml:space="preserve"> in whole blood of rats</w:t>
      </w:r>
      <w:r w:rsidRPr="00D637D5">
        <w:rPr>
          <w:lang w:val="en-US"/>
        </w:rPr>
        <w:t xml:space="preserve"> </w:t>
      </w:r>
      <w:r>
        <w:rPr>
          <w:lang w:val="en-US"/>
        </w:rPr>
        <w:t xml:space="preserve">treated with nitazoxanide and rifampicin </w:t>
      </w:r>
      <w:r w:rsidRPr="00D637D5">
        <w:rPr>
          <w:lang w:val="en-US"/>
        </w:rPr>
        <w:t xml:space="preserve">120 min after </w:t>
      </w:r>
      <w:r>
        <w:rPr>
          <w:lang w:val="en-US"/>
        </w:rPr>
        <w:t>tracer injection.</w:t>
      </w:r>
    </w:p>
    <w:p w14:paraId="4ABA341B" w14:textId="77777777" w:rsidR="002C5F50" w:rsidRPr="00D637D5" w:rsidRDefault="002C5F50" w:rsidP="00470D15">
      <w:pPr>
        <w:spacing w:before="120" w:after="120"/>
        <w:jc w:val="both"/>
        <w:rPr>
          <w:lang w:val="en-US"/>
        </w:rPr>
      </w:pPr>
    </w:p>
    <w:p w14:paraId="646DCFDD" w14:textId="77777777" w:rsidR="00CF6BF5" w:rsidRDefault="00AC6378" w:rsidP="00470D15">
      <w:pPr>
        <w:spacing w:before="120" w:after="120"/>
        <w:jc w:val="both"/>
      </w:pPr>
      <w:r w:rsidRPr="00AC6378">
        <w:rPr>
          <w:noProof/>
        </w:rPr>
        <w:drawing>
          <wp:inline distT="0" distB="0" distL="0" distR="0" wp14:anchorId="634B5535" wp14:editId="5C10B888">
            <wp:extent cx="5731510" cy="21653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4C3E" w14:textId="6FBD01AA" w:rsidR="00CF6BF5" w:rsidRPr="00D637D5" w:rsidRDefault="00CF6BF5" w:rsidP="00470D15">
      <w:pPr>
        <w:spacing w:before="120" w:after="120"/>
        <w:jc w:val="both"/>
        <w:rPr>
          <w:lang w:val="en-US"/>
        </w:rPr>
      </w:pPr>
      <w:r w:rsidRPr="008A1D47">
        <w:rPr>
          <w:b/>
          <w:bCs/>
          <w:lang w:val="en-US"/>
        </w:rPr>
        <w:t>Figure</w:t>
      </w:r>
      <w:r w:rsidR="008D5CB2">
        <w:rPr>
          <w:b/>
          <w:bCs/>
          <w:lang w:val="en-US"/>
        </w:rPr>
        <w:t xml:space="preserve"> S</w:t>
      </w:r>
      <w:r w:rsidR="00F43A87">
        <w:rPr>
          <w:b/>
          <w:bCs/>
          <w:lang w:val="en-US"/>
        </w:rPr>
        <w:t>8</w:t>
      </w:r>
      <w:r w:rsidRPr="008A1D47">
        <w:rPr>
          <w:b/>
          <w:bCs/>
          <w:lang w:val="en-US"/>
        </w:rPr>
        <w:t>.</w:t>
      </w:r>
      <w:r w:rsidRPr="00C93A3C">
        <w:rPr>
          <w:lang w:val="en-US"/>
        </w:rPr>
        <w:t xml:space="preserve"> </w:t>
      </w:r>
      <w:r>
        <w:rPr>
          <w:lang w:val="en-US"/>
        </w:rPr>
        <w:t xml:space="preserve">HPLC analysis of </w:t>
      </w:r>
      <w:r w:rsidR="008D7FC0">
        <w:rPr>
          <w:lang w:val="en-US"/>
        </w:rPr>
        <w:t>[</w:t>
      </w:r>
      <w:r w:rsidRPr="00D637D5">
        <w:rPr>
          <w:vertAlign w:val="superscript"/>
          <w:lang w:val="en-US"/>
        </w:rPr>
        <w:t>18</w:t>
      </w:r>
      <w:r w:rsidRPr="00D637D5">
        <w:rPr>
          <w:lang w:val="en-US"/>
        </w:rPr>
        <w:t>F</w:t>
      </w:r>
      <w:r w:rsidR="008D7FC0">
        <w:rPr>
          <w:lang w:val="en-US"/>
        </w:rPr>
        <w:t>]DR29</w:t>
      </w:r>
      <w:r>
        <w:rPr>
          <w:lang w:val="en-US"/>
        </w:rPr>
        <w:t xml:space="preserve"> in whole blood of rats</w:t>
      </w:r>
      <w:r w:rsidRPr="00D637D5">
        <w:rPr>
          <w:lang w:val="en-US"/>
        </w:rPr>
        <w:t xml:space="preserve"> </w:t>
      </w:r>
      <w:r>
        <w:rPr>
          <w:lang w:val="en-US"/>
        </w:rPr>
        <w:t xml:space="preserve">treated with nitazoxanide, rifampicin and candesartan </w:t>
      </w:r>
      <w:r w:rsidRPr="00D637D5">
        <w:rPr>
          <w:lang w:val="en-US"/>
        </w:rPr>
        <w:t xml:space="preserve">120 min after </w:t>
      </w:r>
      <w:r>
        <w:rPr>
          <w:lang w:val="en-US"/>
        </w:rPr>
        <w:t>tracer injection.</w:t>
      </w:r>
    </w:p>
    <w:p w14:paraId="25113CEC" w14:textId="02599C41" w:rsidR="003E58CD" w:rsidRDefault="003E58CD" w:rsidP="00470D15">
      <w:pPr>
        <w:spacing w:before="120" w:after="120"/>
      </w:pPr>
    </w:p>
    <w:p w14:paraId="6A022DCD" w14:textId="246CBADA" w:rsidR="00C97614" w:rsidRDefault="00C97614" w:rsidP="009E3473"/>
    <w:sectPr w:rsidR="00C97614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291B7" w14:textId="77777777" w:rsidR="00463361" w:rsidRDefault="00463361" w:rsidP="001E34E7">
      <w:r>
        <w:separator/>
      </w:r>
    </w:p>
  </w:endnote>
  <w:endnote w:type="continuationSeparator" w:id="0">
    <w:p w14:paraId="3E7B2CBD" w14:textId="77777777" w:rsidR="00463361" w:rsidRDefault="00463361" w:rsidP="001E3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954748012"/>
      <w:docPartObj>
        <w:docPartGallery w:val="Page Numbers (Bottom of Page)"/>
        <w:docPartUnique/>
      </w:docPartObj>
    </w:sdtPr>
    <w:sdtContent>
      <w:p w14:paraId="34605FB3" w14:textId="77777777" w:rsidR="001E34E7" w:rsidRDefault="001E34E7" w:rsidP="003B640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044357C" w14:textId="77777777" w:rsidR="001E34E7" w:rsidRDefault="001E34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57171875"/>
      <w:docPartObj>
        <w:docPartGallery w:val="Page Numbers (Bottom of Page)"/>
        <w:docPartUnique/>
      </w:docPartObj>
    </w:sdtPr>
    <w:sdtContent>
      <w:p w14:paraId="2DF80E0E" w14:textId="77777777" w:rsidR="001E34E7" w:rsidRDefault="001E34E7" w:rsidP="003B640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03FFA04" w14:textId="77777777" w:rsidR="001E34E7" w:rsidRDefault="001E34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B7C92" w14:textId="77777777" w:rsidR="00463361" w:rsidRDefault="00463361" w:rsidP="001E34E7">
      <w:r>
        <w:separator/>
      </w:r>
    </w:p>
  </w:footnote>
  <w:footnote w:type="continuationSeparator" w:id="0">
    <w:p w14:paraId="4FB90458" w14:textId="77777777" w:rsidR="00463361" w:rsidRDefault="00463361" w:rsidP="001E34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F6C"/>
    <w:rsid w:val="000044B9"/>
    <w:rsid w:val="00015145"/>
    <w:rsid w:val="00036481"/>
    <w:rsid w:val="000446EE"/>
    <w:rsid w:val="00061CBF"/>
    <w:rsid w:val="00067139"/>
    <w:rsid w:val="000818CB"/>
    <w:rsid w:val="0008766E"/>
    <w:rsid w:val="000B35A9"/>
    <w:rsid w:val="000E28DB"/>
    <w:rsid w:val="00106B81"/>
    <w:rsid w:val="001426B0"/>
    <w:rsid w:val="0016118B"/>
    <w:rsid w:val="00167833"/>
    <w:rsid w:val="00172FA4"/>
    <w:rsid w:val="00194D72"/>
    <w:rsid w:val="001A5ED7"/>
    <w:rsid w:val="001D4915"/>
    <w:rsid w:val="001E34E7"/>
    <w:rsid w:val="002110C5"/>
    <w:rsid w:val="00263D12"/>
    <w:rsid w:val="00281BE3"/>
    <w:rsid w:val="002A4DB1"/>
    <w:rsid w:val="002A629F"/>
    <w:rsid w:val="002A78A7"/>
    <w:rsid w:val="002B2B71"/>
    <w:rsid w:val="002C5F50"/>
    <w:rsid w:val="002E06E1"/>
    <w:rsid w:val="002F6F3C"/>
    <w:rsid w:val="002F73C3"/>
    <w:rsid w:val="00300991"/>
    <w:rsid w:val="003A2C31"/>
    <w:rsid w:val="003C4768"/>
    <w:rsid w:val="003E58CD"/>
    <w:rsid w:val="00410328"/>
    <w:rsid w:val="004142B8"/>
    <w:rsid w:val="0043788D"/>
    <w:rsid w:val="00463361"/>
    <w:rsid w:val="00470D15"/>
    <w:rsid w:val="00480A4D"/>
    <w:rsid w:val="0049405F"/>
    <w:rsid w:val="00494E40"/>
    <w:rsid w:val="004D3A68"/>
    <w:rsid w:val="004D579C"/>
    <w:rsid w:val="004F1304"/>
    <w:rsid w:val="00510780"/>
    <w:rsid w:val="00541BBE"/>
    <w:rsid w:val="00574AB4"/>
    <w:rsid w:val="00591EB3"/>
    <w:rsid w:val="005D1496"/>
    <w:rsid w:val="005D23C7"/>
    <w:rsid w:val="005E2926"/>
    <w:rsid w:val="00601D27"/>
    <w:rsid w:val="006841B1"/>
    <w:rsid w:val="0069348F"/>
    <w:rsid w:val="006B4F18"/>
    <w:rsid w:val="006C36A4"/>
    <w:rsid w:val="006E4FB4"/>
    <w:rsid w:val="007007B1"/>
    <w:rsid w:val="00735420"/>
    <w:rsid w:val="00735885"/>
    <w:rsid w:val="00740407"/>
    <w:rsid w:val="00757EF5"/>
    <w:rsid w:val="00765A86"/>
    <w:rsid w:val="00771314"/>
    <w:rsid w:val="007728F5"/>
    <w:rsid w:val="007A0462"/>
    <w:rsid w:val="007C0F96"/>
    <w:rsid w:val="007C4F76"/>
    <w:rsid w:val="008701CF"/>
    <w:rsid w:val="00897B88"/>
    <w:rsid w:val="008B5DAB"/>
    <w:rsid w:val="008B6BDE"/>
    <w:rsid w:val="008C61F5"/>
    <w:rsid w:val="008C7F6C"/>
    <w:rsid w:val="008D301C"/>
    <w:rsid w:val="008D5CB2"/>
    <w:rsid w:val="008D7FC0"/>
    <w:rsid w:val="008E5CBC"/>
    <w:rsid w:val="008F702B"/>
    <w:rsid w:val="009016BD"/>
    <w:rsid w:val="009318DF"/>
    <w:rsid w:val="0093368F"/>
    <w:rsid w:val="00971522"/>
    <w:rsid w:val="009972DB"/>
    <w:rsid w:val="009B2388"/>
    <w:rsid w:val="009E3473"/>
    <w:rsid w:val="009E6F92"/>
    <w:rsid w:val="00A267FB"/>
    <w:rsid w:val="00A97E7D"/>
    <w:rsid w:val="00AB028F"/>
    <w:rsid w:val="00AC2868"/>
    <w:rsid w:val="00AC6378"/>
    <w:rsid w:val="00AE58A7"/>
    <w:rsid w:val="00B20817"/>
    <w:rsid w:val="00B37923"/>
    <w:rsid w:val="00B41A3E"/>
    <w:rsid w:val="00B628FC"/>
    <w:rsid w:val="00B67FEA"/>
    <w:rsid w:val="00B84B40"/>
    <w:rsid w:val="00B93703"/>
    <w:rsid w:val="00BA5C54"/>
    <w:rsid w:val="00BB6571"/>
    <w:rsid w:val="00BE199A"/>
    <w:rsid w:val="00BF772C"/>
    <w:rsid w:val="00C33A3F"/>
    <w:rsid w:val="00C4439E"/>
    <w:rsid w:val="00C97614"/>
    <w:rsid w:val="00CA58F8"/>
    <w:rsid w:val="00CC6ABC"/>
    <w:rsid w:val="00CF031B"/>
    <w:rsid w:val="00CF6BF5"/>
    <w:rsid w:val="00D14829"/>
    <w:rsid w:val="00D17ADB"/>
    <w:rsid w:val="00D25EA0"/>
    <w:rsid w:val="00D50C75"/>
    <w:rsid w:val="00D51B56"/>
    <w:rsid w:val="00D67652"/>
    <w:rsid w:val="00D736C9"/>
    <w:rsid w:val="00D73B76"/>
    <w:rsid w:val="00DB029D"/>
    <w:rsid w:val="00DB25F8"/>
    <w:rsid w:val="00DC1A39"/>
    <w:rsid w:val="00DF7056"/>
    <w:rsid w:val="00E12117"/>
    <w:rsid w:val="00E377FF"/>
    <w:rsid w:val="00E5407F"/>
    <w:rsid w:val="00E669EC"/>
    <w:rsid w:val="00E80188"/>
    <w:rsid w:val="00EB386D"/>
    <w:rsid w:val="00F0112E"/>
    <w:rsid w:val="00F16AA0"/>
    <w:rsid w:val="00F41085"/>
    <w:rsid w:val="00F43A87"/>
    <w:rsid w:val="00F66051"/>
    <w:rsid w:val="00F71006"/>
    <w:rsid w:val="00F77F72"/>
    <w:rsid w:val="00F8302D"/>
    <w:rsid w:val="00FC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4B88D4"/>
  <w15:chartTrackingRefBased/>
  <w15:docId w15:val="{C6B35EE1-F169-EB45-B008-91437D6A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F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4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4E7"/>
  </w:style>
  <w:style w:type="paragraph" w:styleId="Footer">
    <w:name w:val="footer"/>
    <w:basedOn w:val="Normal"/>
    <w:link w:val="FooterChar"/>
    <w:uiPriority w:val="99"/>
    <w:unhideWhenUsed/>
    <w:rsid w:val="001E34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4E7"/>
  </w:style>
  <w:style w:type="character" w:styleId="PageNumber">
    <w:name w:val="page number"/>
    <w:basedOn w:val="DefaultParagraphFont"/>
    <w:uiPriority w:val="99"/>
    <w:semiHidden/>
    <w:unhideWhenUsed/>
    <w:rsid w:val="001E34E7"/>
  </w:style>
  <w:style w:type="character" w:styleId="Hyperlink">
    <w:name w:val="Hyperlink"/>
    <w:basedOn w:val="DefaultParagraphFont"/>
    <w:uiPriority w:val="99"/>
    <w:unhideWhenUsed/>
    <w:rsid w:val="00BF772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B5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4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thiguchi@me.com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Xinyu Chen</dc:creator>
  <cp:keywords/>
  <dc:description/>
  <cp:lastModifiedBy>Xinyu Chen</cp:lastModifiedBy>
  <cp:revision>3</cp:revision>
  <dcterms:created xsi:type="dcterms:W3CDTF">2025-07-10T07:24:00Z</dcterms:created>
  <dcterms:modified xsi:type="dcterms:W3CDTF">2025-07-10T07:25:00Z</dcterms:modified>
</cp:coreProperties>
</file>