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346" w:rsidRDefault="004D034F" w:rsidP="000F634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34F">
        <w:rPr>
          <w:rFonts w:ascii="Times New Roman" w:hAnsi="Times New Roman" w:cs="Times New Roman"/>
          <w:b/>
          <w:bCs/>
          <w:sz w:val="24"/>
          <w:szCs w:val="24"/>
        </w:rPr>
        <w:t>Favorable clinical outcomes are achieved in both male and female following medial meniscus posterior root repair</w:t>
      </w:r>
    </w:p>
    <w:p w:rsidR="004D034F" w:rsidRDefault="004D034F" w:rsidP="000F6346">
      <w:pPr>
        <w:spacing w:line="480" w:lineRule="auto"/>
      </w:pPr>
    </w:p>
    <w:p w:rsidR="000F6346" w:rsidRPr="00BE4C48" w:rsidRDefault="000F6346" w:rsidP="000F6346">
      <w:pPr>
        <w:pStyle w:val="a3"/>
        <w:spacing w:line="480" w:lineRule="auto"/>
        <w:jc w:val="left"/>
        <w:rPr>
          <w:rFonts w:ascii="Times New Roman" w:hAnsi="Times New Roman" w:cs="Times New Roman"/>
          <w:b/>
          <w:bCs/>
        </w:rPr>
      </w:pPr>
      <w:r w:rsidRPr="00BE4C48">
        <w:rPr>
          <w:rFonts w:ascii="Times New Roman" w:hAnsi="Times New Roman" w:cs="Times New Roman"/>
          <w:b/>
          <w:bCs/>
        </w:rPr>
        <w:t>Supplementary Information</w:t>
      </w:r>
    </w:p>
    <w:p w:rsidR="000F6346" w:rsidRPr="000F6346" w:rsidRDefault="000F6346" w:rsidP="000F6346">
      <w:pPr>
        <w:spacing w:line="480" w:lineRule="auto"/>
      </w:pPr>
    </w:p>
    <w:p w:rsidR="000F6346" w:rsidRPr="000F6346" w:rsidRDefault="000F6346" w:rsidP="000F6346">
      <w:pPr>
        <w:spacing w:line="480" w:lineRule="auto"/>
      </w:pPr>
    </w:p>
    <w:p w:rsidR="00123E74" w:rsidRDefault="00123E74" w:rsidP="000F6346">
      <w:pPr>
        <w:snapToGrid w:val="0"/>
        <w:spacing w:line="480" w:lineRule="auto"/>
        <w:rPr>
          <w:rFonts w:ascii="Times New Roman" w:eastAsia="MPKEA A+ Gulliver IT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eastAsia="MPKEA A+ Gulliver IT" w:hAnsi="Times New Roman" w:cs="Times New Roman"/>
          <w:color w:val="000000" w:themeColor="text1"/>
          <w:sz w:val="24"/>
          <w:szCs w:val="24"/>
          <w:lang w:val="pt-BR"/>
        </w:rPr>
        <w:br w:type="page"/>
      </w:r>
    </w:p>
    <w:p w:rsidR="00BE4C48" w:rsidRPr="00651F2D" w:rsidRDefault="00BE4C48" w:rsidP="00BE4C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pt-BR"/>
        </w:rPr>
        <w:lastRenderedPageBreak/>
        <w:t xml:space="preserve">Supplementary </w:t>
      </w:r>
      <w:r w:rsidR="00123E74"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651F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Comparison between pre- and postoperative c</w:t>
      </w:r>
      <w:r w:rsidRPr="00651F2D">
        <w:rPr>
          <w:rFonts w:ascii="Times New Roman" w:hAnsi="Times New Roman" w:cs="Times New Roman"/>
          <w:sz w:val="24"/>
          <w:szCs w:val="24"/>
        </w:rPr>
        <w:t xml:space="preserve">linical outcomes </w:t>
      </w:r>
      <w:r>
        <w:rPr>
          <w:rFonts w:ascii="Times New Roman" w:hAnsi="Times New Roman" w:cs="Times New Roman" w:hint="eastAsia"/>
          <w:sz w:val="24"/>
          <w:szCs w:val="24"/>
        </w:rPr>
        <w:t>in male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0"/>
        <w:gridCol w:w="1872"/>
        <w:gridCol w:w="2039"/>
        <w:gridCol w:w="1931"/>
        <w:gridCol w:w="1063"/>
      </w:tblGrid>
      <w:tr w:rsidR="00BE4C48" w:rsidRPr="00651F2D" w:rsidTr="00023FF4"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Preoperative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BE4C48" w:rsidRPr="00651F2D" w:rsidTr="00023FF4"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KOOS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63.1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90.3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90.1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ADL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74.6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92.7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Sport/Rec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QOL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Lysholm score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63.1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90.7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IKDC score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42.9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73.7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egner activity score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651F2D" w:rsidTr="00023FF4"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visual analogue scale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39.7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Pr="00651F2D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BE4C48" w:rsidRDefault="00BE4C48" w:rsidP="00BE4C48">
      <w:pPr>
        <w:spacing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51F2D">
        <w:rPr>
          <w:rFonts w:ascii="Times New Roman" w:hAnsi="Times New Roman" w:cs="Times New Roman"/>
          <w:sz w:val="24"/>
          <w:szCs w:val="24"/>
        </w:rPr>
        <w:t>KOOS, Knee Injury a</w:t>
      </w:r>
      <w:r>
        <w:rPr>
          <w:rFonts w:ascii="Times New Roman" w:hAnsi="Times New Roman" w:cs="Times New Roman"/>
          <w:sz w:val="24"/>
          <w:szCs w:val="24"/>
        </w:rPr>
        <w:t>nd Osteoarthritis Outcome Score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651F2D">
        <w:rPr>
          <w:rFonts w:ascii="Times New Roman" w:hAnsi="Times New Roman" w:cs="Times New Roman"/>
          <w:sz w:val="24"/>
          <w:szCs w:val="24"/>
        </w:rPr>
        <w:t xml:space="preserve"> IKDC, International Knee Documentation Committee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F2D">
        <w:rPr>
          <w:rFonts w:ascii="Times New Roman" w:hAnsi="Times New Roman" w:cs="Times New Roman"/>
          <w:sz w:val="24"/>
          <w:szCs w:val="24"/>
        </w:rPr>
        <w:t>ADL, activities of daily living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651F2D">
        <w:rPr>
          <w:rFonts w:ascii="Times New Roman" w:hAnsi="Times New Roman" w:cs="Times New Roman"/>
          <w:sz w:val="24"/>
          <w:szCs w:val="24"/>
        </w:rPr>
        <w:t xml:space="preserve"> Sport/Rec, sport and recreation function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651F2D">
        <w:rPr>
          <w:rFonts w:ascii="Times New Roman" w:hAnsi="Times New Roman" w:cs="Times New Roman"/>
          <w:sz w:val="24"/>
          <w:szCs w:val="24"/>
        </w:rPr>
        <w:t xml:space="preserve"> QOL, knee-related quality</w:t>
      </w:r>
      <w:r>
        <w:rPr>
          <w:rFonts w:ascii="Times New Roman" w:hAnsi="Times New Roman" w:cs="Times New Roman"/>
          <w:sz w:val="24"/>
          <w:szCs w:val="24"/>
        </w:rPr>
        <w:t xml:space="preserve"> of life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651F2D">
        <w:rPr>
          <w:rFonts w:ascii="Times New Roman" w:hAnsi="Times New Roman" w:cs="Times New Roman"/>
          <w:sz w:val="24"/>
          <w:szCs w:val="24"/>
        </w:rPr>
        <w:t xml:space="preserve">are displayed as a mean ± standard deviation. </w:t>
      </w:r>
      <w:r w:rsidRPr="00670BC8">
        <w:rPr>
          <w:rFonts w:ascii="Times New Roman" w:hAnsi="Times New Roman" w:cs="Times New Roman"/>
          <w:sz w:val="24"/>
          <w:szCs w:val="24"/>
        </w:rPr>
        <w:t xml:space="preserve">Statistical differences between two groups were analyzed </w:t>
      </w:r>
      <w:r w:rsidRPr="002A7759">
        <w:rPr>
          <w:rFonts w:ascii="Times New Roman" w:hAnsi="Times New Roman" w:cs="Times New Roman"/>
          <w:sz w:val="24"/>
          <w:szCs w:val="24"/>
        </w:rPr>
        <w:t xml:space="preserve">using </w:t>
      </w:r>
      <w:r w:rsidRPr="002A7759">
        <w:rPr>
          <w:rFonts w:ascii="Times New Roman" w:hAnsi="Times New Roman" w:cs="Times New Roman"/>
          <w:iCs/>
          <w:sz w:val="24"/>
          <w:szCs w:val="24"/>
        </w:rPr>
        <w:t>Wilcoxon</w:t>
      </w:r>
      <w:r w:rsidRPr="002A7759">
        <w:rPr>
          <w:rFonts w:ascii="Times New Roman" w:hAnsi="Times New Roman" w:cs="Times New Roman"/>
          <w:sz w:val="24"/>
          <w:szCs w:val="24"/>
        </w:rPr>
        <w:t xml:space="preserve"> signed-rank sum test. * P &lt; 0.05</w:t>
      </w:r>
    </w:p>
    <w:p w:rsidR="00B01E02" w:rsidRDefault="00B01E02" w:rsidP="00BE4C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4C48" w:rsidRPr="002A7759" w:rsidRDefault="00123E74" w:rsidP="00BE4C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Supplementary t</w:t>
      </w:r>
      <w:r w:rsidR="00BE4C48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BE4C48" w:rsidRPr="002A7759">
        <w:rPr>
          <w:rFonts w:ascii="Times New Roman" w:hAnsi="Times New Roman" w:cs="Times New Roman"/>
          <w:sz w:val="24"/>
          <w:szCs w:val="24"/>
        </w:rPr>
        <w:t xml:space="preserve">. </w:t>
      </w:r>
      <w:r w:rsidR="00BE4C48">
        <w:rPr>
          <w:rFonts w:ascii="Times New Roman" w:hAnsi="Times New Roman" w:cs="Times New Roman" w:hint="eastAsia"/>
          <w:sz w:val="24"/>
          <w:szCs w:val="24"/>
        </w:rPr>
        <w:t>Comparison between pre- and postoperative c</w:t>
      </w:r>
      <w:r w:rsidR="00BE4C48" w:rsidRPr="00651F2D">
        <w:rPr>
          <w:rFonts w:ascii="Times New Roman" w:hAnsi="Times New Roman" w:cs="Times New Roman"/>
          <w:sz w:val="24"/>
          <w:szCs w:val="24"/>
        </w:rPr>
        <w:t xml:space="preserve">linical outcomes </w:t>
      </w:r>
      <w:r w:rsidR="00BE4C48">
        <w:rPr>
          <w:rFonts w:ascii="Times New Roman" w:hAnsi="Times New Roman" w:cs="Times New Roman" w:hint="eastAsia"/>
          <w:sz w:val="24"/>
          <w:szCs w:val="24"/>
        </w:rPr>
        <w:t>in female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0"/>
        <w:gridCol w:w="1872"/>
        <w:gridCol w:w="2039"/>
        <w:gridCol w:w="1931"/>
        <w:gridCol w:w="1063"/>
      </w:tblGrid>
      <w:tr w:rsidR="00BE4C48" w:rsidRPr="002A7759" w:rsidTr="00023FF4"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Preoperative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BE4C48" w:rsidRPr="002A7759" w:rsidTr="00023FF4"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KOOS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87.9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ADL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Sport/Rec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QOL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.0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Lysholm score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IKDC score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759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>egner activity score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1.0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4C48" w:rsidRPr="002A7759" w:rsidTr="00023FF4"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visual analogue scale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2A7759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48" w:rsidRPr="002A7759" w:rsidRDefault="00BE4C48" w:rsidP="00023FF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51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BE4C48" w:rsidRPr="007C6840" w:rsidRDefault="00BE4C48" w:rsidP="00BE4C48">
      <w:pPr>
        <w:spacing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51F2D">
        <w:rPr>
          <w:rFonts w:ascii="Times New Roman" w:hAnsi="Times New Roman" w:cs="Times New Roman"/>
          <w:sz w:val="24"/>
          <w:szCs w:val="24"/>
        </w:rPr>
        <w:t>KOOS, Knee Injury a</w:t>
      </w:r>
      <w:r>
        <w:rPr>
          <w:rFonts w:ascii="Times New Roman" w:hAnsi="Times New Roman" w:cs="Times New Roman"/>
          <w:sz w:val="24"/>
          <w:szCs w:val="24"/>
        </w:rPr>
        <w:t>nd Osteoarthritis Outcome Score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651F2D">
        <w:rPr>
          <w:rFonts w:ascii="Times New Roman" w:hAnsi="Times New Roman" w:cs="Times New Roman"/>
          <w:sz w:val="24"/>
          <w:szCs w:val="24"/>
        </w:rPr>
        <w:t xml:space="preserve"> IKDC, International Knee Documentation Committee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F2D">
        <w:rPr>
          <w:rFonts w:ascii="Times New Roman" w:hAnsi="Times New Roman" w:cs="Times New Roman"/>
          <w:sz w:val="24"/>
          <w:szCs w:val="24"/>
        </w:rPr>
        <w:t>ADL, activities of daily living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651F2D">
        <w:rPr>
          <w:rFonts w:ascii="Times New Roman" w:hAnsi="Times New Roman" w:cs="Times New Roman"/>
          <w:sz w:val="24"/>
          <w:szCs w:val="24"/>
        </w:rPr>
        <w:t xml:space="preserve"> Sport/Rec, sport and recreation function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651F2D">
        <w:rPr>
          <w:rFonts w:ascii="Times New Roman" w:hAnsi="Times New Roman" w:cs="Times New Roman"/>
          <w:sz w:val="24"/>
          <w:szCs w:val="24"/>
        </w:rPr>
        <w:t xml:space="preserve"> QOL, knee-related quality</w:t>
      </w:r>
      <w:r>
        <w:rPr>
          <w:rFonts w:ascii="Times New Roman" w:hAnsi="Times New Roman" w:cs="Times New Roman"/>
          <w:sz w:val="24"/>
          <w:szCs w:val="24"/>
        </w:rPr>
        <w:t xml:space="preserve"> of life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651F2D">
        <w:rPr>
          <w:rFonts w:ascii="Times New Roman" w:hAnsi="Times New Roman" w:cs="Times New Roman"/>
          <w:sz w:val="24"/>
          <w:szCs w:val="24"/>
        </w:rPr>
        <w:t xml:space="preserve">are displayed as a mean ± standard deviation. </w:t>
      </w:r>
      <w:r w:rsidRPr="00670BC8">
        <w:rPr>
          <w:rFonts w:ascii="Times New Roman" w:hAnsi="Times New Roman" w:cs="Times New Roman"/>
          <w:sz w:val="24"/>
          <w:szCs w:val="24"/>
        </w:rPr>
        <w:t xml:space="preserve">Statistical differences between two groups were analyzed </w:t>
      </w:r>
      <w:r w:rsidRPr="002A7759">
        <w:rPr>
          <w:rFonts w:ascii="Times New Roman" w:hAnsi="Times New Roman" w:cs="Times New Roman"/>
          <w:sz w:val="24"/>
          <w:szCs w:val="24"/>
        </w:rPr>
        <w:t xml:space="preserve">using </w:t>
      </w:r>
      <w:r w:rsidRPr="002A7759">
        <w:rPr>
          <w:rFonts w:ascii="Times New Roman" w:hAnsi="Times New Roman" w:cs="Times New Roman"/>
          <w:iCs/>
          <w:sz w:val="24"/>
          <w:szCs w:val="24"/>
        </w:rPr>
        <w:t>Wilcoxon</w:t>
      </w:r>
      <w:r w:rsidRPr="002A7759">
        <w:rPr>
          <w:rFonts w:ascii="Times New Roman" w:hAnsi="Times New Roman" w:cs="Times New Roman"/>
          <w:sz w:val="24"/>
          <w:szCs w:val="24"/>
        </w:rPr>
        <w:t xml:space="preserve"> signed-rank sum test. * P &lt; 0.05</w:t>
      </w:r>
    </w:p>
    <w:p w:rsidR="007C6840" w:rsidRDefault="007C6840" w:rsidP="007C6840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C6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E02" w:rsidRDefault="00B01E02" w:rsidP="00B01E02">
      <w:r>
        <w:separator/>
      </w:r>
    </w:p>
  </w:endnote>
  <w:endnote w:type="continuationSeparator" w:id="0">
    <w:p w:rsidR="00B01E02" w:rsidRDefault="00B01E02" w:rsidP="00B0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PKEA A+ Gulliver IT">
    <w:altName w:val="ＭＳ ゴシック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E02" w:rsidRDefault="00B01E02" w:rsidP="00B01E02">
      <w:r>
        <w:separator/>
      </w:r>
    </w:p>
  </w:footnote>
  <w:footnote w:type="continuationSeparator" w:id="0">
    <w:p w:rsidR="00B01E02" w:rsidRDefault="00B01E02" w:rsidP="00B0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48"/>
    <w:rsid w:val="000246D0"/>
    <w:rsid w:val="000F6346"/>
    <w:rsid w:val="00105941"/>
    <w:rsid w:val="00123E74"/>
    <w:rsid w:val="001A1C19"/>
    <w:rsid w:val="001C4777"/>
    <w:rsid w:val="00367EA5"/>
    <w:rsid w:val="00381294"/>
    <w:rsid w:val="004D034F"/>
    <w:rsid w:val="00681D38"/>
    <w:rsid w:val="007C6840"/>
    <w:rsid w:val="009C55AB"/>
    <w:rsid w:val="009E0963"/>
    <w:rsid w:val="00A30695"/>
    <w:rsid w:val="00A52FA6"/>
    <w:rsid w:val="00A8244F"/>
    <w:rsid w:val="00B01E02"/>
    <w:rsid w:val="00B86B6B"/>
    <w:rsid w:val="00BD438C"/>
    <w:rsid w:val="00BE4C48"/>
    <w:rsid w:val="00D21FFC"/>
    <w:rsid w:val="00DD1301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6D1EE4"/>
  <w15:chartTrackingRefBased/>
  <w15:docId w15:val="{82C8CE90-9D9B-4E85-AB38-3B035358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E4C48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E4C48"/>
    <w:rPr>
      <w:sz w:val="24"/>
      <w:szCs w:val="24"/>
    </w:rPr>
  </w:style>
  <w:style w:type="character" w:styleId="a5">
    <w:name w:val="Hyperlink"/>
    <w:basedOn w:val="a0"/>
    <w:uiPriority w:val="99"/>
    <w:unhideWhenUsed/>
    <w:rsid w:val="00BE4C48"/>
    <w:rPr>
      <w:color w:val="467886" w:themeColor="hyperlink"/>
      <w:u w:val="single"/>
    </w:rPr>
  </w:style>
  <w:style w:type="table" w:styleId="a6">
    <w:name w:val="Table Grid"/>
    <w:basedOn w:val="a1"/>
    <w:uiPriority w:val="39"/>
    <w:rsid w:val="00BE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1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E02"/>
  </w:style>
  <w:style w:type="paragraph" w:styleId="a9">
    <w:name w:val="footer"/>
    <w:basedOn w:val="a"/>
    <w:link w:val="aa"/>
    <w:uiPriority w:val="99"/>
    <w:unhideWhenUsed/>
    <w:rsid w:val="00B01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晴喜 片山</dc:creator>
  <cp:keywords/>
  <dc:description/>
  <cp:lastModifiedBy>晴喜 片山</cp:lastModifiedBy>
  <cp:revision>2</cp:revision>
  <dcterms:created xsi:type="dcterms:W3CDTF">2025-05-04T11:20:00Z</dcterms:created>
  <dcterms:modified xsi:type="dcterms:W3CDTF">2025-05-04T11:20:00Z</dcterms:modified>
</cp:coreProperties>
</file>